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2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81"/>
        <w:gridCol w:w="7281"/>
        <w:gridCol w:w="7281"/>
      </w:tblGrid>
      <w:tr w:rsidR="00DD3E4D" w:rsidRPr="00DD3E4D" w14:paraId="52428A5B" w14:textId="77777777" w:rsidTr="0050022D">
        <w:trPr>
          <w:trHeight w:val="781"/>
        </w:trPr>
        <w:tc>
          <w:tcPr>
            <w:tcW w:w="7281" w:type="dxa"/>
          </w:tcPr>
          <w:p w14:paraId="5B3FECFD" w14:textId="77777777" w:rsidR="00DD3E4D" w:rsidRPr="0050022D" w:rsidRDefault="00DD3E4D" w:rsidP="00DD3E4D">
            <w:pPr>
              <w:jc w:val="center"/>
              <w:rPr>
                <w:rFonts w:ascii="Times New Roman" w:hAnsi="Times New Roman" w:cs="Times New Roman"/>
                <w:b/>
                <w:sz w:val="26"/>
                <w:szCs w:val="26"/>
              </w:rPr>
            </w:pPr>
            <w:bookmarkStart w:id="0" w:name="_Hlk172614151"/>
            <w:r w:rsidRPr="0050022D">
              <w:rPr>
                <w:rFonts w:ascii="Times New Roman" w:hAnsi="Times New Roman" w:cs="Times New Roman"/>
                <w:b/>
                <w:sz w:val="26"/>
                <w:szCs w:val="26"/>
              </w:rPr>
              <w:t>BỘ GIÁO DỤC VÀ ĐÀO TẠO</w:t>
            </w:r>
          </w:p>
          <w:p w14:paraId="566E79EB" w14:textId="24505901" w:rsidR="00DD3E4D" w:rsidRPr="00DD3E4D" w:rsidRDefault="00DD3E4D" w:rsidP="00DD3E4D">
            <w:pPr>
              <w:jc w:val="center"/>
              <w:rPr>
                <w:rFonts w:ascii="Times New Roman" w:hAnsi="Times New Roman" w:cs="Times New Roman"/>
                <w:b/>
                <w:sz w:val="28"/>
                <w:szCs w:val="28"/>
              </w:rPr>
            </w:pPr>
            <w:r w:rsidRPr="00DD3E4D">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49859E1F" wp14:editId="7C1985CC">
                      <wp:simplePos x="0" y="0"/>
                      <wp:positionH relativeFrom="column">
                        <wp:posOffset>1421130</wp:posOffset>
                      </wp:positionH>
                      <wp:positionV relativeFrom="paragraph">
                        <wp:posOffset>56515</wp:posOffset>
                      </wp:positionV>
                      <wp:extent cx="1637414"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63741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5DBE2B3"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11.9pt,4.45pt" to="240.8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DVMtQEAALcDAAAOAAAAZHJzL2Uyb0RvYy54bWysU8FuEzEQvSPxD5bvZJNSFbTKpodUcEEQ&#10;UfoBrnectbA91thkN3/P2Em2CBBCVS9ej/3ezLzn2fXt5J04ACWLoZOrxVIKCBp7G/adfPj24c17&#10;KVJWoVcOA3TyCEnebl6/Wo+xhSsc0PVAgpOE1I6xk0POsW2apAfwKi0wQuBLg+RV5pD2TU9q5Oze&#10;NVfL5U0zIvWRUENKfHp3upSbmt8Y0PmLMQmycJ3k3nJdqa6PZW02a9XuScXB6nMb6hldeGUDF51T&#10;3amsxA+yf6TyVhMmNHmh0TdojNVQNbCa1fI3NfeDilC1sDkpzjall0urPx92JGzPbydFUJ6f6D6T&#10;svshiy2GwAYiiVXxaYypZfg27OgcpbijInoy5MuX5YipenucvYUpC82Hq5u3765X11Loy13zRIyU&#10;8kdAL8qmk86GIlu16vApZS7G0AuEg9LIqXTd5aODAnbhKxiWUopVdh0i2DoSB8XP33+vMjhXRRaK&#10;sc7NpOW/SWdsoUEdrP8lzuhaEUOeid4GpL9VzdOlVXPCX1SftBbZj9gf60NUO3g6qkvnSS7j92tc&#10;6U//2+YnAAAA//8DAFBLAwQUAAYACAAAACEAnHSdmdwAAAAHAQAADwAAAGRycy9kb3ducmV2Lnht&#10;bEzOwU7DMBAE0DsS/2AtEjfqNKASQpyqqoQQF0RTuLvx1gnY68h20vD3GC7lOJrV7KvWszVsQh96&#10;RwKWiwwYUutUT1rA+/7ppgAWoiQljSMU8I0B1vXlRSVL5U60w6mJmqURCqUU0MU4lJyHtkMrw8IN&#10;SKk7Om9lTNFrrrw8pXFreJ5lK25lT+lDJwfcdth+NaMVYF789KG3ehPG592q+Xw75q/7SYjrq3nz&#10;CCziHM/H8MtPdKiT6eBGUoEZAXl+m+hRQPEALPV3xfIe2OEv87ri//31DwAAAP//AwBQSwECLQAU&#10;AAYACAAAACEAtoM4kv4AAADhAQAAEwAAAAAAAAAAAAAAAAAAAAAAW0NvbnRlbnRfVHlwZXNdLnht&#10;bFBLAQItABQABgAIAAAAIQA4/SH/1gAAAJQBAAALAAAAAAAAAAAAAAAAAC8BAABfcmVscy8ucmVs&#10;c1BLAQItABQABgAIAAAAIQA8TDVMtQEAALcDAAAOAAAAAAAAAAAAAAAAAC4CAABkcnMvZTJvRG9j&#10;LnhtbFBLAQItABQABgAIAAAAIQCcdJ2Z3AAAAAcBAAAPAAAAAAAAAAAAAAAAAA8EAABkcnMvZG93&#10;bnJldi54bWxQSwUGAAAAAAQABADzAAAAGAUAAAAA&#10;" strokecolor="black [3200]" strokeweight=".5pt">
                      <v:stroke joinstyle="miter"/>
                    </v:line>
                  </w:pict>
                </mc:Fallback>
              </mc:AlternateContent>
            </w:r>
          </w:p>
        </w:tc>
        <w:tc>
          <w:tcPr>
            <w:tcW w:w="7281" w:type="dxa"/>
          </w:tcPr>
          <w:p w14:paraId="2BEE233C" w14:textId="46CDB176" w:rsidR="00DD3E4D" w:rsidRPr="00DD3E4D" w:rsidRDefault="00DD3E4D" w:rsidP="00DD3E4D">
            <w:pPr>
              <w:jc w:val="center"/>
              <w:rPr>
                <w:rFonts w:ascii="Times New Roman" w:hAnsi="Times New Roman" w:cs="Times New Roman"/>
                <w:b/>
                <w:sz w:val="28"/>
                <w:szCs w:val="28"/>
              </w:rPr>
            </w:pPr>
            <w:r w:rsidRPr="00DD3E4D">
              <w:rPr>
                <w:rFonts w:ascii="Times New Roman" w:hAnsi="Times New Roman" w:cs="Times New Roman"/>
                <w:b/>
                <w:bCs/>
                <w:noProof/>
                <w:sz w:val="26"/>
                <w:szCs w:val="26"/>
              </w:rPr>
              <mc:AlternateContent>
                <mc:Choice Requires="wps">
                  <w:drawing>
                    <wp:anchor distT="0" distB="0" distL="114300" distR="114300" simplePos="0" relativeHeight="251664384" behindDoc="0" locked="0" layoutInCell="1" allowOverlap="1" wp14:anchorId="5C1DDE19" wp14:editId="216475B7">
                      <wp:simplePos x="0" y="0"/>
                      <wp:positionH relativeFrom="column">
                        <wp:posOffset>1146175</wp:posOffset>
                      </wp:positionH>
                      <wp:positionV relativeFrom="paragraph">
                        <wp:posOffset>443865</wp:posOffset>
                      </wp:positionV>
                      <wp:extent cx="2210463"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FBC8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25pt,34.95pt" to="264.3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mHQIAADYEAAAOAAAAZHJzL2Uyb0RvYy54bWysU8uu2yAQ3VfqPyD2iR/XSR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s7SYPmFEb76ElLdEY53/xHWPglFhKVSQjZTk+OJ8&#10;IELKW0g4VnotpIytlwoNFZ5P8klMcFoKFpwhzNn9rpYWHUkYnvjFqsDzGGb1QbEI1nHCVlfbEyEv&#10;NlwuVcCDUoDO1bpMx495Ol/NVrNiVOTT1ahIm2b0cV0Xo+k6+zBpnpq6brKfgVpWlJ1gjKvA7jap&#10;WfF3k3B9M5cZu8/qXYbkLXrUC8je/pF07GVo32UQdpqdN/bWYxjOGHx9SGH6H/dgPz735S8AAAD/&#10;/wMAUEsDBBQABgAIAAAAIQBz+VDJ3QAAAAkBAAAPAAAAZHJzL2Rvd25yZXYueG1sTI/BTsMwDIbv&#10;SLxDZCQu05ZQtKorTScE9MaFAdrVa0xb0Thdk22FpydoBzj+9qffn4v1ZHtxpNF3jjXcLBQI4tqZ&#10;jhsNb6/VPAPhA7LB3jFp+CIP6/LyosDcuBO/0HETGhFL2OeooQ1hyKX0dUsW/cINxHH34UaLIcax&#10;kWbEUyy3vUyUSqXFjuOFFgd6aKn+3BysBl+90776ntUztb1tHCX7x+cn1Pr6arq/AxFoCn8w/OpH&#10;dSij084d2HjRx5ypZUQ1pKsViAgskywFsTsPZFnI/x+UPwAAAP//AwBQSwECLQAUAAYACAAAACEA&#10;toM4kv4AAADhAQAAEwAAAAAAAAAAAAAAAAAAAAAAW0NvbnRlbnRfVHlwZXNdLnhtbFBLAQItABQA&#10;BgAIAAAAIQA4/SH/1gAAAJQBAAALAAAAAAAAAAAAAAAAAC8BAABfcmVscy8ucmVsc1BLAQItABQA&#10;BgAIAAAAIQD+ZnLmHQIAADYEAAAOAAAAAAAAAAAAAAAAAC4CAABkcnMvZTJvRG9jLnhtbFBLAQIt&#10;ABQABgAIAAAAIQBz+VDJ3QAAAAkBAAAPAAAAAAAAAAAAAAAAAHcEAABkcnMvZG93bnJldi54bWxQ&#10;SwUGAAAAAAQABADzAAAAgQUAAAAA&#10;"/>
                  </w:pict>
                </mc:Fallback>
              </mc:AlternateContent>
            </w:r>
            <w:r w:rsidRPr="00DD3E4D">
              <w:rPr>
                <w:rFonts w:ascii="Times New Roman" w:hAnsi="Times New Roman" w:cs="Times New Roman"/>
                <w:b/>
                <w:bCs/>
                <w:sz w:val="26"/>
                <w:szCs w:val="26"/>
                <w:lang w:val="vi-VN"/>
              </w:rPr>
              <w:t>CỘNG HÒA XÃ HỘI CHỦ NGHĨA VIỆT NAM</w:t>
            </w:r>
            <w:r w:rsidRPr="00DD3E4D">
              <w:rPr>
                <w:rFonts w:ascii="Times New Roman" w:hAnsi="Times New Roman" w:cs="Times New Roman"/>
                <w:b/>
                <w:bCs/>
                <w:sz w:val="28"/>
                <w:szCs w:val="28"/>
                <w:lang w:val="vi-VN"/>
              </w:rPr>
              <w:br/>
              <w:t>Độc lập - Tự do - Hạnh phúc</w:t>
            </w:r>
          </w:p>
        </w:tc>
        <w:tc>
          <w:tcPr>
            <w:tcW w:w="7281" w:type="dxa"/>
          </w:tcPr>
          <w:p w14:paraId="67480DB3" w14:textId="7E3AAC3A" w:rsidR="00DD3E4D" w:rsidRPr="00DD3E4D" w:rsidRDefault="00DD3E4D" w:rsidP="00DD3E4D">
            <w:pPr>
              <w:jc w:val="center"/>
              <w:rPr>
                <w:rFonts w:ascii="Times New Roman" w:hAnsi="Times New Roman" w:cs="Times New Roman"/>
                <w:b/>
                <w:sz w:val="28"/>
                <w:szCs w:val="28"/>
              </w:rPr>
            </w:pPr>
          </w:p>
        </w:tc>
      </w:tr>
      <w:tr w:rsidR="00DD3E4D" w:rsidRPr="00DD3E4D" w14:paraId="75353BAE" w14:textId="77777777" w:rsidTr="00EA6387">
        <w:trPr>
          <w:trHeight w:val="494"/>
        </w:trPr>
        <w:tc>
          <w:tcPr>
            <w:tcW w:w="7281" w:type="dxa"/>
          </w:tcPr>
          <w:p w14:paraId="5DC2A856" w14:textId="77777777" w:rsidR="00DD3E4D" w:rsidRPr="00DD3E4D" w:rsidRDefault="00DD3E4D" w:rsidP="00DD3E4D">
            <w:pPr>
              <w:jc w:val="center"/>
              <w:rPr>
                <w:rFonts w:ascii="Times New Roman" w:hAnsi="Times New Roman" w:cs="Times New Roman"/>
                <w:b/>
                <w:sz w:val="28"/>
                <w:szCs w:val="28"/>
              </w:rPr>
            </w:pPr>
          </w:p>
        </w:tc>
        <w:tc>
          <w:tcPr>
            <w:tcW w:w="7281" w:type="dxa"/>
          </w:tcPr>
          <w:p w14:paraId="17A4395C" w14:textId="65EA73FD" w:rsidR="00DD3E4D" w:rsidRPr="00EA6387" w:rsidRDefault="00DD3E4D" w:rsidP="00DD3E4D">
            <w:pPr>
              <w:jc w:val="center"/>
              <w:rPr>
                <w:rFonts w:ascii="Times New Roman" w:hAnsi="Times New Roman" w:cs="Times New Roman"/>
                <w:b/>
                <w:sz w:val="28"/>
                <w:szCs w:val="28"/>
              </w:rPr>
            </w:pPr>
            <w:r w:rsidRPr="00EA6387">
              <w:rPr>
                <w:rFonts w:ascii="Times New Roman" w:hAnsi="Times New Roman" w:cs="Times New Roman"/>
                <w:i/>
                <w:iCs/>
                <w:sz w:val="28"/>
                <w:szCs w:val="28"/>
                <w:lang w:val="vi-VN"/>
              </w:rPr>
              <w:t xml:space="preserve">Hà Nội, ngày </w:t>
            </w:r>
            <w:r w:rsidR="00234644" w:rsidRPr="00EA6387">
              <w:rPr>
                <w:rFonts w:ascii="Times New Roman" w:hAnsi="Times New Roman" w:cs="Times New Roman"/>
                <w:i/>
                <w:iCs/>
                <w:sz w:val="28"/>
                <w:szCs w:val="28"/>
              </w:rPr>
              <w:t>05</w:t>
            </w:r>
            <w:r w:rsidRPr="00EA6387">
              <w:rPr>
                <w:rFonts w:ascii="Times New Roman" w:hAnsi="Times New Roman" w:cs="Times New Roman"/>
                <w:i/>
                <w:iCs/>
                <w:sz w:val="28"/>
                <w:szCs w:val="28"/>
              </w:rPr>
              <w:t xml:space="preserve"> </w:t>
            </w:r>
            <w:r w:rsidRPr="00EA6387">
              <w:rPr>
                <w:rFonts w:ascii="Times New Roman" w:hAnsi="Times New Roman" w:cs="Times New Roman"/>
                <w:i/>
                <w:iCs/>
                <w:sz w:val="28"/>
                <w:szCs w:val="28"/>
                <w:lang w:val="vi-VN"/>
              </w:rPr>
              <w:t>tháng</w:t>
            </w:r>
            <w:r w:rsidRPr="00EA6387">
              <w:rPr>
                <w:rFonts w:ascii="Times New Roman" w:hAnsi="Times New Roman" w:cs="Times New Roman"/>
                <w:i/>
                <w:iCs/>
                <w:sz w:val="28"/>
                <w:szCs w:val="28"/>
              </w:rPr>
              <w:t xml:space="preserve"> </w:t>
            </w:r>
            <w:r w:rsidR="006D5158" w:rsidRPr="00EA6387">
              <w:rPr>
                <w:rFonts w:ascii="Times New Roman" w:hAnsi="Times New Roman" w:cs="Times New Roman"/>
                <w:i/>
                <w:iCs/>
                <w:sz w:val="28"/>
                <w:szCs w:val="28"/>
              </w:rPr>
              <w:t>1</w:t>
            </w:r>
            <w:r w:rsidR="00234644" w:rsidRPr="00EA6387">
              <w:rPr>
                <w:rFonts w:ascii="Times New Roman" w:hAnsi="Times New Roman" w:cs="Times New Roman"/>
                <w:i/>
                <w:iCs/>
                <w:sz w:val="28"/>
                <w:szCs w:val="28"/>
              </w:rPr>
              <w:t>2</w:t>
            </w:r>
            <w:r w:rsidRPr="00EA6387">
              <w:rPr>
                <w:rFonts w:ascii="Times New Roman" w:hAnsi="Times New Roman" w:cs="Times New Roman"/>
                <w:i/>
                <w:iCs/>
                <w:sz w:val="28"/>
                <w:szCs w:val="28"/>
              </w:rPr>
              <w:t xml:space="preserve"> </w:t>
            </w:r>
            <w:r w:rsidRPr="00EA6387">
              <w:rPr>
                <w:rFonts w:ascii="Times New Roman" w:hAnsi="Times New Roman" w:cs="Times New Roman"/>
                <w:i/>
                <w:iCs/>
                <w:sz w:val="28"/>
                <w:szCs w:val="28"/>
                <w:lang w:val="vi-VN"/>
              </w:rPr>
              <w:t>năm 20</w:t>
            </w:r>
            <w:r w:rsidRPr="00EA6387">
              <w:rPr>
                <w:rFonts w:ascii="Times New Roman" w:hAnsi="Times New Roman" w:cs="Times New Roman"/>
                <w:i/>
                <w:iCs/>
                <w:sz w:val="28"/>
                <w:szCs w:val="28"/>
              </w:rPr>
              <w:t>25</w:t>
            </w:r>
          </w:p>
        </w:tc>
        <w:tc>
          <w:tcPr>
            <w:tcW w:w="7281" w:type="dxa"/>
          </w:tcPr>
          <w:p w14:paraId="0FC0DEEF" w14:textId="69CA7981" w:rsidR="00DD3E4D" w:rsidRPr="00DD3E4D" w:rsidRDefault="00DD3E4D" w:rsidP="00DD3E4D">
            <w:pPr>
              <w:jc w:val="center"/>
              <w:rPr>
                <w:rFonts w:ascii="Times New Roman" w:hAnsi="Times New Roman" w:cs="Times New Roman"/>
                <w:b/>
                <w:sz w:val="28"/>
                <w:szCs w:val="28"/>
              </w:rPr>
            </w:pPr>
          </w:p>
        </w:tc>
      </w:tr>
    </w:tbl>
    <w:p w14:paraId="7D905DE3" w14:textId="77777777" w:rsidR="00093E6E" w:rsidRDefault="00DD3E4D" w:rsidP="00BF47E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BẢN </w:t>
      </w:r>
      <w:r w:rsidR="008B28E9" w:rsidRPr="00A966A4">
        <w:rPr>
          <w:rFonts w:ascii="Times New Roman" w:hAnsi="Times New Roman" w:cs="Times New Roman"/>
          <w:b/>
          <w:sz w:val="28"/>
          <w:szCs w:val="28"/>
        </w:rPr>
        <w:t>TỔNG HỢP Ý KIẾN</w:t>
      </w:r>
      <w:r>
        <w:rPr>
          <w:rFonts w:ascii="Times New Roman" w:hAnsi="Times New Roman" w:cs="Times New Roman"/>
          <w:b/>
          <w:sz w:val="28"/>
          <w:szCs w:val="28"/>
        </w:rPr>
        <w:t>, TIẾP THU, GIẢI TRÌNH Ý KIẾN</w:t>
      </w:r>
      <w:r w:rsidR="008B28E9" w:rsidRPr="00A966A4">
        <w:rPr>
          <w:rFonts w:ascii="Times New Roman" w:hAnsi="Times New Roman" w:cs="Times New Roman"/>
          <w:b/>
          <w:sz w:val="28"/>
          <w:szCs w:val="28"/>
        </w:rPr>
        <w:t xml:space="preserve"> GÓP Ý</w:t>
      </w:r>
    </w:p>
    <w:p w14:paraId="67FCEAD5" w14:textId="2DFA7CBE" w:rsidR="008B28E9" w:rsidRPr="00A966A4" w:rsidRDefault="008B28E9" w:rsidP="00BF47EE">
      <w:pPr>
        <w:spacing w:after="0" w:line="240" w:lineRule="auto"/>
        <w:jc w:val="center"/>
        <w:rPr>
          <w:rFonts w:ascii="Times New Roman" w:hAnsi="Times New Roman" w:cs="Times New Roman"/>
          <w:b/>
          <w:sz w:val="28"/>
          <w:szCs w:val="28"/>
        </w:rPr>
      </w:pPr>
      <w:r w:rsidRPr="00A966A4">
        <w:rPr>
          <w:rFonts w:ascii="Times New Roman" w:hAnsi="Times New Roman" w:cs="Times New Roman"/>
          <w:b/>
          <w:sz w:val="28"/>
          <w:szCs w:val="28"/>
        </w:rPr>
        <w:t>CỦA</w:t>
      </w:r>
      <w:r w:rsidR="007C2FC0" w:rsidRPr="00A966A4">
        <w:rPr>
          <w:rFonts w:ascii="Times New Roman" w:hAnsi="Times New Roman" w:cs="Times New Roman"/>
          <w:b/>
          <w:sz w:val="28"/>
          <w:szCs w:val="28"/>
        </w:rPr>
        <w:t xml:space="preserve"> CÁC </w:t>
      </w:r>
      <w:r w:rsidR="00234644">
        <w:rPr>
          <w:rFonts w:ascii="Times New Roman" w:hAnsi="Times New Roman" w:cs="Times New Roman"/>
          <w:b/>
          <w:sz w:val="28"/>
          <w:szCs w:val="28"/>
        </w:rPr>
        <w:t>BỘ, NGÀNH</w:t>
      </w:r>
      <w:r w:rsidR="00093E6E">
        <w:rPr>
          <w:rFonts w:ascii="Times New Roman" w:hAnsi="Times New Roman" w:cs="Times New Roman"/>
          <w:b/>
          <w:sz w:val="28"/>
          <w:szCs w:val="28"/>
        </w:rPr>
        <w:t xml:space="preserve"> VÀ CƠ QUAN TRUNG ƯƠNG</w:t>
      </w:r>
    </w:p>
    <w:bookmarkEnd w:id="0"/>
    <w:p w14:paraId="6CC9EB7B" w14:textId="5D828FEB" w:rsidR="00335E17" w:rsidRPr="001D5BD9" w:rsidRDefault="00171629" w:rsidP="00234644">
      <w:pPr>
        <w:spacing w:after="0" w:line="240" w:lineRule="auto"/>
        <w:jc w:val="center"/>
        <w:rPr>
          <w:rFonts w:ascii="Times New Roman" w:hAnsi="Times New Roman" w:cs="Times New Roman"/>
          <w:b/>
          <w:sz w:val="28"/>
          <w:szCs w:val="28"/>
        </w:rPr>
      </w:pPr>
      <w:r w:rsidRPr="00DD3E4D">
        <w:rPr>
          <w:rFonts w:ascii="Times New Roman" w:hAnsi="Times New Roman" w:cs="Times New Roman"/>
          <w:b/>
          <w:sz w:val="28"/>
          <w:szCs w:val="28"/>
        </w:rPr>
        <w:t xml:space="preserve">Về dự thảo </w:t>
      </w:r>
      <w:r w:rsidR="00234644">
        <w:rPr>
          <w:rFonts w:ascii="Times New Roman" w:hAnsi="Times New Roman" w:cs="Times New Roman"/>
          <w:b/>
          <w:sz w:val="28"/>
          <w:szCs w:val="28"/>
        </w:rPr>
        <w:t>N</w:t>
      </w:r>
      <w:r w:rsidR="00234644" w:rsidRPr="00234644">
        <w:rPr>
          <w:rFonts w:ascii="Times New Roman" w:hAnsi="Times New Roman" w:cs="Times New Roman"/>
          <w:b/>
          <w:sz w:val="28"/>
          <w:szCs w:val="28"/>
        </w:rPr>
        <w:t>ghị định quy định chính sách tiền lương, chế độ phụ cấp đối với nhà giáo</w:t>
      </w:r>
    </w:p>
    <w:p w14:paraId="195BC26D" w14:textId="796407B8" w:rsidR="00DA3F7A" w:rsidRPr="00A966A4" w:rsidRDefault="00DA3F7A" w:rsidP="00DA3F7A">
      <w:pPr>
        <w:pStyle w:val="NormalWeb"/>
        <w:spacing w:before="0" w:beforeAutospacing="0" w:after="0" w:afterAutospacing="0"/>
        <w:jc w:val="center"/>
        <w:rPr>
          <w:i/>
          <w:sz w:val="28"/>
          <w:szCs w:val="28"/>
        </w:rPr>
      </w:pPr>
    </w:p>
    <w:p w14:paraId="703E8312" w14:textId="6FAF67EA" w:rsidR="002D7770" w:rsidRPr="00234644" w:rsidRDefault="001D5BD9" w:rsidP="00CC5FB4">
      <w:pPr>
        <w:tabs>
          <w:tab w:val="left" w:pos="993"/>
          <w:tab w:val="left" w:pos="1276"/>
        </w:tabs>
        <w:spacing w:before="120" w:after="120" w:line="240" w:lineRule="auto"/>
        <w:ind w:firstLine="709"/>
        <w:jc w:val="both"/>
        <w:rPr>
          <w:rFonts w:ascii="Times New Roman" w:hAnsi="Times New Roman"/>
          <w:iCs/>
          <w:sz w:val="28"/>
          <w:szCs w:val="28"/>
        </w:rPr>
      </w:pPr>
      <w:r w:rsidRPr="002F055A">
        <w:rPr>
          <w:rFonts w:ascii="Times New Roman" w:hAnsi="Times New Roman" w:cs="Times New Roman"/>
          <w:sz w:val="28"/>
          <w:szCs w:val="28"/>
        </w:rPr>
        <w:t xml:space="preserve">Căn cứ Luật Ban hành văn bản quy phạm pháp luật, Cục Nhà giáo và Cán bộ quản lý giáo dục đã tổ chức </w:t>
      </w:r>
      <w:r w:rsidRPr="0034065A">
        <w:rPr>
          <w:rFonts w:ascii="Times New Roman" w:hAnsi="Times New Roman" w:cs="Times New Roman"/>
          <w:sz w:val="28"/>
          <w:szCs w:val="28"/>
        </w:rPr>
        <w:t xml:space="preserve">lấy ý kiến đối với </w:t>
      </w:r>
      <w:r w:rsidRPr="00234644">
        <w:rPr>
          <w:rFonts w:ascii="Times New Roman" w:hAnsi="Times New Roman"/>
          <w:iCs/>
          <w:sz w:val="28"/>
          <w:szCs w:val="28"/>
        </w:rPr>
        <w:t>dự thảo</w:t>
      </w:r>
      <w:r w:rsidR="00F771BD" w:rsidRPr="00234644">
        <w:rPr>
          <w:rFonts w:ascii="Times New Roman" w:hAnsi="Times New Roman"/>
          <w:iCs/>
          <w:sz w:val="28"/>
          <w:szCs w:val="28"/>
        </w:rPr>
        <w:t xml:space="preserve"> Hồ sơ</w:t>
      </w:r>
      <w:r w:rsidRPr="00234644">
        <w:rPr>
          <w:rFonts w:ascii="Times New Roman" w:hAnsi="Times New Roman"/>
          <w:iCs/>
          <w:sz w:val="28"/>
          <w:szCs w:val="28"/>
        </w:rPr>
        <w:t xml:space="preserve"> </w:t>
      </w:r>
      <w:r w:rsidR="00234644" w:rsidRPr="00234644">
        <w:rPr>
          <w:rFonts w:ascii="Times New Roman" w:hAnsi="Times New Roman" w:cs="Times New Roman"/>
          <w:sz w:val="28"/>
          <w:szCs w:val="28"/>
        </w:rPr>
        <w:t>Nghị định quy định chính sách tiền lương, chế độ phụ cấp đối với nhà giáo</w:t>
      </w:r>
      <w:r w:rsidR="002F055A" w:rsidRPr="00234644">
        <w:rPr>
          <w:rFonts w:ascii="Times New Roman" w:hAnsi="Times New Roman"/>
          <w:iCs/>
          <w:sz w:val="28"/>
          <w:szCs w:val="28"/>
        </w:rPr>
        <w:t>.</w:t>
      </w:r>
    </w:p>
    <w:p w14:paraId="301DAE39" w14:textId="4D08862B" w:rsidR="00CC5FB4" w:rsidRPr="00CC5FB4" w:rsidRDefault="00CC5FB4" w:rsidP="00CC5FB4">
      <w:pPr>
        <w:tabs>
          <w:tab w:val="left" w:pos="993"/>
          <w:tab w:val="left" w:pos="1276"/>
        </w:tabs>
        <w:spacing w:before="120" w:after="120" w:line="240" w:lineRule="auto"/>
        <w:ind w:firstLine="709"/>
        <w:jc w:val="both"/>
        <w:rPr>
          <w:rFonts w:ascii="Times New Roman" w:hAnsi="Times New Roman" w:cs="Times New Roman"/>
          <w:b/>
          <w:sz w:val="28"/>
          <w:szCs w:val="28"/>
        </w:rPr>
      </w:pPr>
      <w:r w:rsidRPr="00CC5FB4">
        <w:rPr>
          <w:rFonts w:ascii="Times New Roman" w:hAnsi="Times New Roman" w:cs="Times New Roman"/>
          <w:b/>
          <w:sz w:val="28"/>
          <w:szCs w:val="28"/>
        </w:rPr>
        <w:t>I. SỐ ĐƠN VỊ GỬI GÓP Ý</w:t>
      </w:r>
    </w:p>
    <w:p w14:paraId="14B35AD1" w14:textId="05D0BAF7" w:rsidR="002F055A" w:rsidRDefault="002F055A" w:rsidP="00CC5FB4">
      <w:pPr>
        <w:tabs>
          <w:tab w:val="left" w:pos="993"/>
          <w:tab w:val="left" w:pos="1276"/>
        </w:tabs>
        <w:spacing w:before="120" w:after="120" w:line="240" w:lineRule="auto"/>
        <w:ind w:firstLine="709"/>
        <w:jc w:val="both"/>
        <w:rPr>
          <w:rFonts w:ascii="Times New Roman" w:hAnsi="Times New Roman" w:cs="Times New Roman"/>
          <w:sz w:val="28"/>
          <w:szCs w:val="28"/>
        </w:rPr>
      </w:pPr>
      <w:r w:rsidRPr="002F055A">
        <w:rPr>
          <w:rFonts w:ascii="Times New Roman" w:hAnsi="Times New Roman" w:cs="Times New Roman"/>
          <w:sz w:val="28"/>
          <w:szCs w:val="28"/>
        </w:rPr>
        <w:t xml:space="preserve">Cục Nhà giáo và Cán bộ quản lý giáo dục nhận được tổng số </w:t>
      </w:r>
      <w:r w:rsidR="006D5158">
        <w:rPr>
          <w:rFonts w:ascii="Times New Roman" w:hAnsi="Times New Roman" w:cs="Times New Roman"/>
          <w:sz w:val="28"/>
          <w:szCs w:val="28"/>
        </w:rPr>
        <w:t xml:space="preserve">văn bản góp ý của </w:t>
      </w:r>
      <w:r w:rsidR="00EE089E">
        <w:rPr>
          <w:rFonts w:ascii="Times New Roman" w:hAnsi="Times New Roman" w:cs="Times New Roman"/>
          <w:sz w:val="28"/>
          <w:szCs w:val="28"/>
        </w:rPr>
        <w:t>07 Bộ, cơ quan ngang Bộ</w:t>
      </w:r>
      <w:r w:rsidR="005A3152">
        <w:rPr>
          <w:rFonts w:ascii="Times New Roman" w:hAnsi="Times New Roman" w:cs="Times New Roman"/>
          <w:sz w:val="28"/>
          <w:szCs w:val="28"/>
        </w:rPr>
        <w:t xml:space="preserve"> Gồm có: Bộ Khoa học và Công nghệ, Bộ Quốc phòng, Ủy ban MTTQ, Học viện Chính trị Quốc gia Hồ Chí Minh,</w:t>
      </w:r>
      <w:r w:rsidRPr="002F055A">
        <w:rPr>
          <w:rFonts w:ascii="Times New Roman" w:hAnsi="Times New Roman" w:cs="Times New Roman"/>
          <w:sz w:val="28"/>
          <w:szCs w:val="28"/>
        </w:rPr>
        <w:t xml:space="preserve"> </w:t>
      </w:r>
      <w:r w:rsidR="00755FA6">
        <w:rPr>
          <w:rFonts w:ascii="Times New Roman" w:hAnsi="Times New Roman" w:cs="Times New Roman"/>
          <w:sz w:val="28"/>
          <w:szCs w:val="28"/>
        </w:rPr>
        <w:t>Bộ Tư pháp</w:t>
      </w:r>
      <w:r w:rsidR="00EA6387">
        <w:rPr>
          <w:rFonts w:ascii="Times New Roman" w:hAnsi="Times New Roman" w:cs="Times New Roman"/>
          <w:sz w:val="28"/>
          <w:szCs w:val="28"/>
        </w:rPr>
        <w:t>, Bộ Tài chính, Bộ Nội vụ</w:t>
      </w:r>
      <w:bookmarkStart w:id="1" w:name="_GoBack"/>
      <w:bookmarkEnd w:id="1"/>
    </w:p>
    <w:p w14:paraId="47C1727D" w14:textId="378625D4" w:rsidR="00B16216" w:rsidRDefault="00B16216" w:rsidP="00CC5FB4">
      <w:pPr>
        <w:tabs>
          <w:tab w:val="left" w:pos="993"/>
          <w:tab w:val="left" w:pos="1276"/>
        </w:tabs>
        <w:spacing w:before="120" w:after="120" w:line="240" w:lineRule="auto"/>
        <w:ind w:firstLine="709"/>
        <w:jc w:val="both"/>
        <w:rPr>
          <w:rFonts w:ascii="Times New Roman" w:hAnsi="Times New Roman" w:cs="Times New Roman"/>
          <w:sz w:val="28"/>
          <w:szCs w:val="28"/>
        </w:rPr>
      </w:pPr>
      <w:r>
        <w:rPr>
          <w:rFonts w:ascii="Times New Roman" w:hAnsi="Times New Roman" w:cs="Times New Roman"/>
          <w:sz w:val="28"/>
          <w:szCs w:val="28"/>
        </w:rPr>
        <w:t>Hoàn toàn nhất trí: Bộ Khoa học và Công nghệ</w:t>
      </w:r>
      <w:r w:rsidR="00EE089E">
        <w:rPr>
          <w:rFonts w:ascii="Times New Roman" w:hAnsi="Times New Roman" w:cs="Times New Roman"/>
          <w:sz w:val="28"/>
          <w:szCs w:val="28"/>
        </w:rPr>
        <w:t>.</w:t>
      </w:r>
    </w:p>
    <w:p w14:paraId="58C10E38" w14:textId="3EB8937B" w:rsidR="00B16216" w:rsidRPr="00EE089E" w:rsidRDefault="00B16216" w:rsidP="00CC5FB4">
      <w:pPr>
        <w:tabs>
          <w:tab w:val="left" w:pos="993"/>
          <w:tab w:val="left" w:pos="1276"/>
        </w:tabs>
        <w:spacing w:before="120" w:after="120" w:line="240" w:lineRule="auto"/>
        <w:ind w:firstLine="709"/>
        <w:jc w:val="both"/>
        <w:rPr>
          <w:rFonts w:ascii="Times New Roman" w:hAnsi="Times New Roman" w:cs="Times New Roman"/>
          <w:sz w:val="28"/>
          <w:szCs w:val="28"/>
        </w:rPr>
      </w:pPr>
      <w:r w:rsidRPr="00EE089E">
        <w:rPr>
          <w:rFonts w:ascii="Times New Roman" w:hAnsi="Times New Roman" w:cs="Times New Roman"/>
          <w:sz w:val="28"/>
          <w:szCs w:val="28"/>
        </w:rPr>
        <w:t xml:space="preserve">Cơ bản nhất trí với bố cục, nội dung của dự thảo: </w:t>
      </w:r>
      <w:r w:rsidR="00EE089E" w:rsidRPr="00EE089E">
        <w:rPr>
          <w:rFonts w:ascii="Times New Roman" w:hAnsi="Times New Roman" w:cs="Times New Roman"/>
          <w:spacing w:val="-6"/>
          <w:sz w:val="28"/>
          <w:szCs w:val="28"/>
          <w:lang w:val="pt-BR"/>
        </w:rPr>
        <w:t>Các đơn vị còn lại.</w:t>
      </w:r>
    </w:p>
    <w:p w14:paraId="5FD53BF5" w14:textId="3D220CE1" w:rsidR="00CC5FB4" w:rsidRPr="00234644" w:rsidRDefault="00CC5FB4" w:rsidP="00234644">
      <w:pPr>
        <w:tabs>
          <w:tab w:val="left" w:pos="993"/>
          <w:tab w:val="left" w:pos="1276"/>
        </w:tabs>
        <w:spacing w:before="120" w:after="120" w:line="240" w:lineRule="auto"/>
        <w:ind w:firstLine="709"/>
        <w:jc w:val="both"/>
        <w:rPr>
          <w:rFonts w:ascii="Times New Roman" w:hAnsi="Times New Roman" w:cs="Times New Roman"/>
          <w:b/>
          <w:sz w:val="28"/>
          <w:szCs w:val="28"/>
        </w:rPr>
      </w:pPr>
      <w:r w:rsidRPr="00CC5FB4">
        <w:rPr>
          <w:rFonts w:ascii="Times New Roman" w:hAnsi="Times New Roman" w:cs="Times New Roman"/>
          <w:b/>
          <w:sz w:val="28"/>
          <w:szCs w:val="28"/>
        </w:rPr>
        <w:t>II. KẾT QUẢ CỤ THỂ NHƯ SAU</w:t>
      </w:r>
    </w:p>
    <w:tbl>
      <w:tblPr>
        <w:tblStyle w:val="TableGrid"/>
        <w:tblW w:w="14737" w:type="dxa"/>
        <w:jc w:val="center"/>
        <w:tblLook w:val="04A0" w:firstRow="1" w:lastRow="0" w:firstColumn="1" w:lastColumn="0" w:noHBand="0" w:noVBand="1"/>
      </w:tblPr>
      <w:tblGrid>
        <w:gridCol w:w="1696"/>
        <w:gridCol w:w="1560"/>
        <w:gridCol w:w="5953"/>
        <w:gridCol w:w="5528"/>
      </w:tblGrid>
      <w:tr w:rsidR="00385B2F" w:rsidRPr="00642DF1" w14:paraId="0A55C749" w14:textId="77777777" w:rsidTr="00F5486C">
        <w:trPr>
          <w:tblHeader/>
          <w:jc w:val="center"/>
        </w:trPr>
        <w:tc>
          <w:tcPr>
            <w:tcW w:w="1696" w:type="dxa"/>
            <w:vAlign w:val="center"/>
          </w:tcPr>
          <w:p w14:paraId="5C2A2C40" w14:textId="77777777" w:rsidR="00385B2F" w:rsidRPr="00093E6E" w:rsidRDefault="00385B2F" w:rsidP="00642DF1">
            <w:pPr>
              <w:spacing w:after="120"/>
              <w:jc w:val="center"/>
              <w:rPr>
                <w:rFonts w:ascii="Times New Roman" w:eastAsia="Times New Roman" w:hAnsi="Times New Roman" w:cs="Times New Roman"/>
                <w:b/>
                <w:sz w:val="24"/>
                <w:szCs w:val="24"/>
              </w:rPr>
            </w:pPr>
            <w:r w:rsidRPr="00093E6E">
              <w:rPr>
                <w:rFonts w:ascii="Times New Roman" w:eastAsia="Times New Roman" w:hAnsi="Times New Roman" w:cs="Times New Roman"/>
                <w:b/>
                <w:bCs/>
                <w:sz w:val="24"/>
                <w:szCs w:val="24"/>
              </w:rPr>
              <w:t>NHÓM VẤN Đ</w:t>
            </w:r>
            <w:r w:rsidRPr="00093E6E">
              <w:rPr>
                <w:rFonts w:ascii="Times New Roman" w:eastAsia="Times New Roman" w:hAnsi="Times New Roman" w:cs="Times New Roman"/>
                <w:b/>
                <w:bCs/>
                <w:sz w:val="24"/>
                <w:szCs w:val="24"/>
                <w:lang w:val="en-SG"/>
              </w:rPr>
              <w:t>Ề </w:t>
            </w:r>
            <w:r w:rsidRPr="00093E6E">
              <w:rPr>
                <w:rFonts w:ascii="Times New Roman" w:eastAsia="Times New Roman" w:hAnsi="Times New Roman" w:cs="Times New Roman"/>
                <w:b/>
                <w:bCs/>
                <w:sz w:val="24"/>
                <w:szCs w:val="24"/>
              </w:rPr>
              <w:t>HOẶC ĐIỀU, KHOẢN</w:t>
            </w:r>
          </w:p>
        </w:tc>
        <w:tc>
          <w:tcPr>
            <w:tcW w:w="1560" w:type="dxa"/>
            <w:vAlign w:val="center"/>
          </w:tcPr>
          <w:p w14:paraId="58F06DE9" w14:textId="77777777" w:rsidR="00385B2F" w:rsidRPr="00642DF1" w:rsidRDefault="00385B2F" w:rsidP="00642DF1">
            <w:pPr>
              <w:spacing w:after="120"/>
              <w:jc w:val="center"/>
              <w:rPr>
                <w:rFonts w:ascii="Times New Roman" w:eastAsia="Times New Roman" w:hAnsi="Times New Roman" w:cs="Times New Roman"/>
                <w:b/>
                <w:bCs/>
                <w:sz w:val="24"/>
                <w:szCs w:val="24"/>
              </w:rPr>
            </w:pPr>
            <w:r w:rsidRPr="00642DF1">
              <w:rPr>
                <w:rFonts w:ascii="Times New Roman" w:eastAsia="Times New Roman" w:hAnsi="Times New Roman" w:cs="Times New Roman"/>
                <w:b/>
                <w:bCs/>
                <w:sz w:val="24"/>
                <w:szCs w:val="24"/>
              </w:rPr>
              <w:t>CHỦ THỂ GÓP Ý</w:t>
            </w:r>
          </w:p>
        </w:tc>
        <w:tc>
          <w:tcPr>
            <w:tcW w:w="5953" w:type="dxa"/>
            <w:vAlign w:val="center"/>
          </w:tcPr>
          <w:p w14:paraId="1AB57B9B" w14:textId="77777777" w:rsidR="00385B2F" w:rsidRPr="00642DF1" w:rsidRDefault="00385B2F" w:rsidP="00642DF1">
            <w:pPr>
              <w:spacing w:after="120"/>
              <w:jc w:val="center"/>
              <w:rPr>
                <w:rFonts w:ascii="Times New Roman" w:eastAsia="Times New Roman" w:hAnsi="Times New Roman" w:cs="Times New Roman"/>
                <w:b/>
                <w:sz w:val="24"/>
                <w:szCs w:val="24"/>
              </w:rPr>
            </w:pPr>
            <w:r w:rsidRPr="00642DF1">
              <w:rPr>
                <w:rFonts w:ascii="Times New Roman" w:eastAsia="Times New Roman" w:hAnsi="Times New Roman" w:cs="Times New Roman"/>
                <w:b/>
                <w:bCs/>
                <w:sz w:val="24"/>
                <w:szCs w:val="24"/>
              </w:rPr>
              <w:t>NỘI D</w:t>
            </w:r>
            <w:r w:rsidRPr="00642DF1">
              <w:rPr>
                <w:rFonts w:ascii="Times New Roman" w:eastAsia="Times New Roman" w:hAnsi="Times New Roman" w:cs="Times New Roman"/>
                <w:b/>
                <w:bCs/>
                <w:sz w:val="24"/>
                <w:szCs w:val="24"/>
                <w:lang w:val="en-SG"/>
              </w:rPr>
              <w:t>U</w:t>
            </w:r>
            <w:r w:rsidRPr="00642DF1">
              <w:rPr>
                <w:rFonts w:ascii="Times New Roman" w:eastAsia="Times New Roman" w:hAnsi="Times New Roman" w:cs="Times New Roman"/>
                <w:b/>
                <w:bCs/>
                <w:sz w:val="24"/>
                <w:szCs w:val="24"/>
              </w:rPr>
              <w:t>NG GÓP Ý</w:t>
            </w:r>
          </w:p>
        </w:tc>
        <w:tc>
          <w:tcPr>
            <w:tcW w:w="5528" w:type="dxa"/>
            <w:vAlign w:val="center"/>
          </w:tcPr>
          <w:p w14:paraId="3F53BBBB" w14:textId="77777777" w:rsidR="00385B2F" w:rsidRPr="00642DF1" w:rsidRDefault="00385B2F" w:rsidP="00642DF1">
            <w:pPr>
              <w:spacing w:after="120"/>
              <w:jc w:val="center"/>
              <w:rPr>
                <w:rFonts w:ascii="Times New Roman" w:eastAsia="Times New Roman" w:hAnsi="Times New Roman" w:cs="Times New Roman"/>
                <w:b/>
                <w:sz w:val="24"/>
                <w:szCs w:val="24"/>
              </w:rPr>
            </w:pPr>
            <w:r w:rsidRPr="00642DF1">
              <w:rPr>
                <w:rFonts w:ascii="Times New Roman" w:eastAsia="Times New Roman" w:hAnsi="Times New Roman" w:cs="Times New Roman"/>
                <w:b/>
                <w:bCs/>
                <w:sz w:val="24"/>
                <w:szCs w:val="24"/>
              </w:rPr>
              <w:t>NỘI D</w:t>
            </w:r>
            <w:r w:rsidRPr="00642DF1">
              <w:rPr>
                <w:rFonts w:ascii="Times New Roman" w:eastAsia="Times New Roman" w:hAnsi="Times New Roman" w:cs="Times New Roman"/>
                <w:b/>
                <w:bCs/>
                <w:sz w:val="24"/>
                <w:szCs w:val="24"/>
                <w:lang w:val="en-SG"/>
              </w:rPr>
              <w:t>U</w:t>
            </w:r>
            <w:r w:rsidRPr="00642DF1">
              <w:rPr>
                <w:rFonts w:ascii="Times New Roman" w:eastAsia="Times New Roman" w:hAnsi="Times New Roman" w:cs="Times New Roman"/>
                <w:b/>
                <w:bCs/>
                <w:sz w:val="24"/>
                <w:szCs w:val="24"/>
              </w:rPr>
              <w:t>NG T</w:t>
            </w:r>
            <w:r w:rsidRPr="00642DF1">
              <w:rPr>
                <w:rFonts w:ascii="Times New Roman" w:eastAsia="Times New Roman" w:hAnsi="Times New Roman" w:cs="Times New Roman"/>
                <w:b/>
                <w:bCs/>
                <w:sz w:val="24"/>
                <w:szCs w:val="24"/>
                <w:lang w:val="en-SG"/>
              </w:rPr>
              <w:t>IẾ</w:t>
            </w:r>
            <w:r w:rsidRPr="00642DF1">
              <w:rPr>
                <w:rFonts w:ascii="Times New Roman" w:eastAsia="Times New Roman" w:hAnsi="Times New Roman" w:cs="Times New Roman"/>
                <w:b/>
                <w:bCs/>
                <w:sz w:val="24"/>
                <w:szCs w:val="24"/>
              </w:rPr>
              <w:t>P THU, GIẢI TRÌNH</w:t>
            </w:r>
          </w:p>
        </w:tc>
      </w:tr>
      <w:tr w:rsidR="00477C28" w:rsidRPr="00642DF1" w14:paraId="56D575E9" w14:textId="77777777" w:rsidTr="00F5486C">
        <w:trPr>
          <w:jc w:val="center"/>
        </w:trPr>
        <w:tc>
          <w:tcPr>
            <w:tcW w:w="1696" w:type="dxa"/>
          </w:tcPr>
          <w:p w14:paraId="53985341" w14:textId="107EE010" w:rsidR="00477C28" w:rsidRPr="00093E6E" w:rsidRDefault="00477C28" w:rsidP="00642DF1">
            <w:pPr>
              <w:spacing w:after="120"/>
              <w:jc w:val="both"/>
              <w:rPr>
                <w:rFonts w:ascii="Times New Roman" w:eastAsia="Calibri" w:hAnsi="Times New Roman" w:cs="Times New Roman"/>
                <w:b/>
                <w:sz w:val="24"/>
                <w:szCs w:val="24"/>
              </w:rPr>
            </w:pPr>
            <w:r w:rsidRPr="00093E6E">
              <w:rPr>
                <w:rFonts w:ascii="Times New Roman" w:eastAsia="Calibri" w:hAnsi="Times New Roman" w:cs="Times New Roman"/>
                <w:b/>
                <w:sz w:val="24"/>
                <w:szCs w:val="24"/>
              </w:rPr>
              <w:t>Góp ý chung</w:t>
            </w:r>
          </w:p>
        </w:tc>
        <w:tc>
          <w:tcPr>
            <w:tcW w:w="1560" w:type="dxa"/>
          </w:tcPr>
          <w:p w14:paraId="15BEC520" w14:textId="6A6D6060" w:rsidR="00477C28" w:rsidRPr="00642DF1" w:rsidRDefault="00477C28"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529D0E4D" w14:textId="7AA03023" w:rsidR="00477C28" w:rsidRPr="00642DF1" w:rsidRDefault="00477C28"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4 chương, 12 Điều tương đối hợp lý, dễ theo dõi. Tuy nhiên, một số điều còn giao thoa giữa “nguyên tắc chung” và cách tính cụ thể”, cần tách bạch rõ.</w:t>
            </w:r>
          </w:p>
        </w:tc>
        <w:tc>
          <w:tcPr>
            <w:tcW w:w="5528" w:type="dxa"/>
          </w:tcPr>
          <w:p w14:paraId="458C89D1" w14:textId="77777777" w:rsidR="00477C28" w:rsidRDefault="00F26EA3"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6E3A8A38" w14:textId="0DF06CA3" w:rsidR="00F26EA3" w:rsidRPr="00642DF1" w:rsidRDefault="005B6DEE"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phối hợp với các Bộ, ngành tiếp tục rà soát và sắp xếp các quy định cho phù hợp</w:t>
            </w:r>
          </w:p>
        </w:tc>
      </w:tr>
      <w:tr w:rsidR="00477C28" w:rsidRPr="00642DF1" w14:paraId="67E84618" w14:textId="77777777" w:rsidTr="00F5486C">
        <w:trPr>
          <w:jc w:val="center"/>
        </w:trPr>
        <w:tc>
          <w:tcPr>
            <w:tcW w:w="1696" w:type="dxa"/>
          </w:tcPr>
          <w:p w14:paraId="0520B72B" w14:textId="77777777" w:rsidR="00477C28" w:rsidRPr="00093E6E" w:rsidRDefault="00477C28" w:rsidP="00642DF1">
            <w:pPr>
              <w:spacing w:after="120"/>
              <w:jc w:val="both"/>
              <w:rPr>
                <w:rFonts w:ascii="Times New Roman" w:eastAsia="Calibri" w:hAnsi="Times New Roman" w:cs="Times New Roman"/>
                <w:b/>
                <w:sz w:val="24"/>
                <w:szCs w:val="24"/>
              </w:rPr>
            </w:pPr>
          </w:p>
        </w:tc>
        <w:tc>
          <w:tcPr>
            <w:tcW w:w="1560" w:type="dxa"/>
          </w:tcPr>
          <w:p w14:paraId="531F9AED" w14:textId="02AA9C1A" w:rsidR="00477C28" w:rsidRPr="00642DF1" w:rsidRDefault="00477C28"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7E8759AD" w14:textId="04B93126" w:rsidR="00477C28" w:rsidRPr="00642DF1" w:rsidRDefault="00477C28"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Một số đoạn trong dự thảo còn dùng cách diễn đạt hành chính hoặc thuật ngữ chưa chuẩn xác theo phong cách văn bản quy phạm pháp luật (VD: “được hưởng hệ số lương đặc </w:t>
            </w:r>
            <w:r w:rsidRPr="00642DF1">
              <w:rPr>
                <w:rFonts w:ascii="Times New Roman" w:hAnsi="Times New Roman" w:cs="Times New Roman"/>
                <w:sz w:val="24"/>
                <w:szCs w:val="24"/>
              </w:rPr>
              <w:lastRenderedPageBreak/>
              <w:t>thù mức 1,15 so với hệ số lương hiện hưởng” – nên viết ngắn gọn, thống nhất)</w:t>
            </w:r>
          </w:p>
        </w:tc>
        <w:tc>
          <w:tcPr>
            <w:tcW w:w="5528" w:type="dxa"/>
          </w:tcPr>
          <w:p w14:paraId="44445EAA" w14:textId="77777777" w:rsidR="00477C28" w:rsidRDefault="005B6DEE"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lastRenderedPageBreak/>
              <w:t>Tiếp thu</w:t>
            </w:r>
          </w:p>
          <w:p w14:paraId="29882B0C" w14:textId="4EBCFE0E" w:rsidR="005B6DEE" w:rsidRPr="00642DF1" w:rsidRDefault="005B6DEE"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lastRenderedPageBreak/>
              <w:t>Bộ GDĐT phối hợp với các Bộ, ngành tiếp tục rà soát hoàn chỉnh các quy định</w:t>
            </w:r>
          </w:p>
        </w:tc>
      </w:tr>
      <w:tr w:rsidR="00FD78C9" w:rsidRPr="00642DF1" w14:paraId="04E54E36" w14:textId="77777777" w:rsidTr="00F5486C">
        <w:trPr>
          <w:jc w:val="center"/>
        </w:trPr>
        <w:tc>
          <w:tcPr>
            <w:tcW w:w="1696" w:type="dxa"/>
          </w:tcPr>
          <w:p w14:paraId="7EDDCCA7" w14:textId="77777777" w:rsidR="00FD78C9" w:rsidRPr="00093E6E" w:rsidRDefault="00FD78C9" w:rsidP="00642DF1">
            <w:pPr>
              <w:spacing w:after="120"/>
              <w:jc w:val="both"/>
              <w:rPr>
                <w:rFonts w:ascii="Times New Roman" w:eastAsia="Calibri" w:hAnsi="Times New Roman" w:cs="Times New Roman"/>
                <w:b/>
                <w:sz w:val="24"/>
                <w:szCs w:val="24"/>
              </w:rPr>
            </w:pPr>
          </w:p>
        </w:tc>
        <w:tc>
          <w:tcPr>
            <w:tcW w:w="1560" w:type="dxa"/>
          </w:tcPr>
          <w:p w14:paraId="1E010C18" w14:textId="2DBA0F18" w:rsidR="00FD78C9" w:rsidRPr="00642DF1" w:rsidRDefault="00FD78C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2939BE13" w14:textId="09810F2A" w:rsidR="00FD78C9" w:rsidRPr="00642DF1" w:rsidRDefault="00FD78C9"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Có thể xem xét khoản phụ cấp hoặc hưởng theo kết quả giảng dạy, nghiên cứu, đổi mới sáng tạo (tham chiếu cơ chế chi thu nhập tăng thêm của Nghị định 60/2021/NĐ-CP)</w:t>
            </w:r>
          </w:p>
        </w:tc>
        <w:tc>
          <w:tcPr>
            <w:tcW w:w="5528" w:type="dxa"/>
          </w:tcPr>
          <w:p w14:paraId="6CACB4F2" w14:textId="77777777" w:rsidR="00FD78C9" w:rsidRPr="00DB2E58" w:rsidRDefault="00DB2E58" w:rsidP="00642DF1">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DB2E58">
              <w:rPr>
                <w:rFonts w:ascii="Times New Roman" w:hAnsi="Times New Roman" w:cs="Times New Roman"/>
                <w:color w:val="000000" w:themeColor="text1"/>
                <w:spacing w:val="-6"/>
                <w:sz w:val="24"/>
                <w:szCs w:val="24"/>
                <w:lang w:val="pt-BR"/>
              </w:rPr>
              <w:t>Đề nghị bảo lưu</w:t>
            </w:r>
          </w:p>
          <w:p w14:paraId="0178BE65" w14:textId="77777777" w:rsidR="00DB2E58" w:rsidRPr="00DB2E58" w:rsidRDefault="00DB2E58" w:rsidP="00642DF1">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DB2E58">
              <w:rPr>
                <w:rFonts w:ascii="Times New Roman" w:hAnsi="Times New Roman" w:cs="Times New Roman"/>
                <w:color w:val="000000" w:themeColor="text1"/>
                <w:spacing w:val="-6"/>
                <w:sz w:val="24"/>
                <w:szCs w:val="24"/>
                <w:lang w:val="pt-BR"/>
              </w:rPr>
              <w:t>Đối với cấp học mầm non, phổ thông hiện đang phụ thuộc vào nguồn ngân sách nhà nước cấp là chủ yếu; mức độ tự chủ không cao nên cần các quy định cụ thể để thống nhất thực hiện.</w:t>
            </w:r>
          </w:p>
          <w:p w14:paraId="273DB213" w14:textId="052D9221" w:rsidR="00DB2E58" w:rsidRPr="00DB2E58" w:rsidRDefault="00DB2E58" w:rsidP="00642DF1">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DB2E58">
              <w:rPr>
                <w:rFonts w:ascii="Times New Roman" w:hAnsi="Times New Roman" w:cs="Times New Roman"/>
                <w:color w:val="000000" w:themeColor="text1"/>
                <w:spacing w:val="-6"/>
                <w:sz w:val="24"/>
                <w:szCs w:val="24"/>
                <w:lang w:val="pt-BR"/>
              </w:rPr>
              <w:t>Đối với cơ sở giáo dục đại học, cơ sở giáo dục nghề nghiệp tại khoản 3 Điều 11 dự thảo Nghị định đã quy định “</w:t>
            </w:r>
            <w:r w:rsidRPr="00DB2E58">
              <w:rPr>
                <w:rFonts w:ascii="Times New Roman" w:hAnsi="Times New Roman" w:cs="Times New Roman"/>
                <w:i/>
                <w:color w:val="000000" w:themeColor="text1"/>
                <w:sz w:val="24"/>
                <w:szCs w:val="24"/>
              </w:rPr>
              <w:t>Căn cứ vào điều kiện thực tiễn và nguồn tài chính của đơn vị, cơ sở giáo dục đại học, cơ sở giáo dục nghề nghiệp có thể chi trả các chế độ, chính sách quy định tại Nghị định này ở mức cao hơn và được quy định trong quy chế chi tiêu nội bộ của đơn vị</w:t>
            </w:r>
            <w:r w:rsidRPr="00DB2E58">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để phù hợp với quy định về cơ chế tự chủ tài chính của đơn vị sự nghiệp công lập tại </w:t>
            </w:r>
            <w:r w:rsidRPr="00642DF1">
              <w:rPr>
                <w:rFonts w:ascii="Times New Roman" w:hAnsi="Times New Roman" w:cs="Times New Roman"/>
                <w:sz w:val="24"/>
                <w:szCs w:val="24"/>
              </w:rPr>
              <w:t>Nghị định 60/2021/NĐ-CP</w:t>
            </w:r>
            <w:r>
              <w:rPr>
                <w:rFonts w:ascii="Times New Roman" w:hAnsi="Times New Roman" w:cs="Times New Roman"/>
                <w:sz w:val="24"/>
                <w:szCs w:val="24"/>
              </w:rPr>
              <w:t>.</w:t>
            </w:r>
          </w:p>
        </w:tc>
      </w:tr>
      <w:tr w:rsidR="00755FA6" w:rsidRPr="00642DF1" w14:paraId="1CBCA699" w14:textId="77777777" w:rsidTr="00F5486C">
        <w:trPr>
          <w:jc w:val="center"/>
        </w:trPr>
        <w:tc>
          <w:tcPr>
            <w:tcW w:w="1696" w:type="dxa"/>
          </w:tcPr>
          <w:p w14:paraId="0E0E3617" w14:textId="77777777" w:rsidR="00755FA6" w:rsidRPr="00093E6E" w:rsidRDefault="00755FA6" w:rsidP="00642DF1">
            <w:pPr>
              <w:spacing w:after="120"/>
              <w:jc w:val="both"/>
              <w:rPr>
                <w:rFonts w:ascii="Times New Roman" w:eastAsia="Calibri" w:hAnsi="Times New Roman" w:cs="Times New Roman"/>
                <w:b/>
                <w:sz w:val="24"/>
                <w:szCs w:val="24"/>
              </w:rPr>
            </w:pPr>
          </w:p>
        </w:tc>
        <w:tc>
          <w:tcPr>
            <w:tcW w:w="1560" w:type="dxa"/>
          </w:tcPr>
          <w:p w14:paraId="523DCF98" w14:textId="61EFBEEE" w:rsidR="00755FA6" w:rsidRPr="00642DF1" w:rsidRDefault="00755FA6"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2851DFC0" w14:textId="30610B6C" w:rsidR="00755FA6" w:rsidRPr="00642DF1" w:rsidRDefault="00755FA6"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Điều 23 Luật Nhà giáo quy định về tiền lương và phụ cấp đối với nhà giáo, trong đó khoản 4 Điều này giao “Chính phủ quy định chi tiết Điều này”. Do đó, Bộ Giáo dục và Đào tạo xây dựng, trình Chính phủ ban hành Nghị định quy định chính sách tiền lương, chế độ phụ cấp đối với nhà giáo là có cơ sở và đúng nhiệm vụ được giao. Tuy nhiên, Điều 24 Luật này giao Chính phủ quy định chi tiết về chính sách hỗ trợ nhà giáo nhưng dự thảo Nghị định không quy định về nội dung này, cần được nghiên cứu, cân nhắc quy định để đảm bảo quy định chi tiết đầy đủ các nội dung Luật giao Chính phủ.</w:t>
            </w:r>
          </w:p>
        </w:tc>
        <w:tc>
          <w:tcPr>
            <w:tcW w:w="5528" w:type="dxa"/>
          </w:tcPr>
          <w:p w14:paraId="2BC793DA" w14:textId="77777777" w:rsidR="00755FA6" w:rsidRDefault="00DB2E58"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680180F2" w14:textId="2A0C69A6" w:rsidR="00DB2E58" w:rsidRPr="00642DF1" w:rsidRDefault="00DB2E58"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Quy định về chính sách hỗ trợ, thu hút, trọng dụng đối với nhà giáo hiện đang được quy định tại dự thảo Nghị định quy định chi tiết một số điều của Luật Nhà giáo (hiện đang đăng mạng và xin ý kiến góp ý). Do các chính sách này không chỉ liên quan đến tiền lương, phụ cấp mà còn liên quan đến việc tuyển dụng, tiếp nhận, sử dụng, đánh giá,...</w:t>
            </w:r>
          </w:p>
        </w:tc>
      </w:tr>
      <w:tr w:rsidR="00755FA6" w:rsidRPr="00642DF1" w14:paraId="694F71A0" w14:textId="77777777" w:rsidTr="00F5486C">
        <w:trPr>
          <w:jc w:val="center"/>
        </w:trPr>
        <w:tc>
          <w:tcPr>
            <w:tcW w:w="1696" w:type="dxa"/>
          </w:tcPr>
          <w:p w14:paraId="06460B1E" w14:textId="77777777" w:rsidR="00755FA6" w:rsidRPr="00093E6E" w:rsidRDefault="00755FA6" w:rsidP="00642DF1">
            <w:pPr>
              <w:spacing w:after="120"/>
              <w:jc w:val="both"/>
              <w:rPr>
                <w:rFonts w:ascii="Times New Roman" w:eastAsia="Calibri" w:hAnsi="Times New Roman" w:cs="Times New Roman"/>
                <w:b/>
                <w:sz w:val="24"/>
                <w:szCs w:val="24"/>
              </w:rPr>
            </w:pPr>
          </w:p>
        </w:tc>
        <w:tc>
          <w:tcPr>
            <w:tcW w:w="1560" w:type="dxa"/>
          </w:tcPr>
          <w:p w14:paraId="4825253C" w14:textId="14627617" w:rsidR="00755FA6"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5412567F" w14:textId="3E148A83" w:rsidR="00755FA6" w:rsidRPr="00642DF1" w:rsidRDefault="000C0219" w:rsidP="00642DF1">
            <w:pPr>
              <w:spacing w:after="120"/>
              <w:jc w:val="both"/>
              <w:rPr>
                <w:rFonts w:ascii="Times New Roman" w:hAnsi="Times New Roman" w:cs="Times New Roman"/>
                <w:sz w:val="24"/>
                <w:szCs w:val="24"/>
              </w:rPr>
            </w:pPr>
            <w:r w:rsidRPr="00642DF1">
              <w:rPr>
                <w:rFonts w:ascii="Times New Roman" w:hAnsi="Times New Roman" w:cs="Times New Roman"/>
                <w:bCs/>
                <w:sz w:val="24"/>
                <w:szCs w:val="24"/>
                <w:lang w:val="nl-NL"/>
              </w:rPr>
              <w:t xml:space="preserve">Về hồ sơ lấy ý kiến dự thảo Nghị định: Khoản 2 Điều 27 Nghị định số 78/2025/NĐ-CP ngày 01 tháng 04 năm 2025 quy định chi tiết một số điều và biện pháp để tổ chức, hướng dẫn thi hành Luật Ban hành văn bản quy phạm pháp luật năm 2025 quy định về hồ sơ dự thảo văn bản để lấy ý kiến, phản biện xã hội. </w:t>
            </w:r>
            <w:r w:rsidRPr="00642DF1">
              <w:rPr>
                <w:rFonts w:ascii="Times New Roman" w:hAnsi="Times New Roman" w:cs="Times New Roman"/>
                <w:sz w:val="24"/>
                <w:szCs w:val="24"/>
                <w:lang w:val="nl-NL"/>
              </w:rPr>
              <w:t>Theo đó, đề nghị Bộ Giáo dục và Đào tạo rà soát hồ sơ xin ý kiến dự thảo Nghị định theo quy định</w:t>
            </w:r>
            <w:r w:rsidRPr="00642DF1">
              <w:rPr>
                <w:rStyle w:val="FootnoteReference"/>
                <w:rFonts w:ascii="Times New Roman" w:hAnsi="Times New Roman" w:cs="Times New Roman"/>
                <w:sz w:val="24"/>
                <w:szCs w:val="24"/>
                <w:lang w:val="nl-NL"/>
              </w:rPr>
              <w:footnoteReference w:id="1"/>
            </w:r>
            <w:r w:rsidRPr="00642DF1">
              <w:rPr>
                <w:rFonts w:ascii="Times New Roman" w:hAnsi="Times New Roman" w:cs="Times New Roman"/>
                <w:sz w:val="24"/>
                <w:szCs w:val="24"/>
                <w:lang w:val="nl-NL"/>
              </w:rPr>
              <w:t>.</w:t>
            </w:r>
          </w:p>
        </w:tc>
        <w:tc>
          <w:tcPr>
            <w:tcW w:w="5528" w:type="dxa"/>
          </w:tcPr>
          <w:p w14:paraId="0C06443B" w14:textId="77777777" w:rsidR="00755FA6" w:rsidRDefault="00852B1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4F159E0B" w14:textId="77777777" w:rsidR="00852B15" w:rsidRDefault="00852B1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Bộ GDĐT đã gửi Ủy ban Trung ương Mặt trận Tổ quốc Việt Nam ngày 29/10/2025. Trong đó, đã gửi đầy đủ hồ sơ Nghị định theo quy định và đề nghị Ủy ban Trung ương Mặt trận Tổ quốc Việt Nam thực </w:t>
            </w:r>
            <w:r w:rsidRPr="00852B15">
              <w:rPr>
                <w:rFonts w:ascii="Times New Roman" w:hAnsi="Times New Roman" w:cs="Times New Roman"/>
                <w:spacing w:val="-6"/>
                <w:sz w:val="24"/>
                <w:szCs w:val="24"/>
                <w:lang w:val="pt-BR"/>
              </w:rPr>
              <w:t>hiện phản biện xã hội theo quy định</w:t>
            </w:r>
            <w:r>
              <w:rPr>
                <w:rFonts w:ascii="Times New Roman" w:hAnsi="Times New Roman" w:cs="Times New Roman"/>
                <w:spacing w:val="-6"/>
                <w:sz w:val="24"/>
                <w:szCs w:val="24"/>
                <w:lang w:val="pt-BR"/>
              </w:rPr>
              <w:t>.</w:t>
            </w:r>
          </w:p>
          <w:p w14:paraId="5E8D2EF6" w14:textId="7603F563" w:rsidR="00852B15" w:rsidRPr="00642DF1" w:rsidRDefault="00852B1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Theo đó, Ủy ban Trung ương Mặt trận Tổ quốc Việt Nam đã có Văn bản phúc đáp số 1086/MTTW-BTT ngày 07/11/2025.</w:t>
            </w:r>
          </w:p>
        </w:tc>
      </w:tr>
      <w:tr w:rsidR="000C0219" w:rsidRPr="00642DF1" w14:paraId="7831A1A6" w14:textId="77777777" w:rsidTr="00F5486C">
        <w:trPr>
          <w:jc w:val="center"/>
        </w:trPr>
        <w:tc>
          <w:tcPr>
            <w:tcW w:w="1696" w:type="dxa"/>
          </w:tcPr>
          <w:p w14:paraId="12AC0CD1"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6D746419" w14:textId="6E5927F3"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2530F970" w14:textId="5D80051F" w:rsidR="000C0219" w:rsidRPr="00642DF1" w:rsidRDefault="000C0219" w:rsidP="00642DF1">
            <w:pPr>
              <w:spacing w:after="120"/>
              <w:jc w:val="both"/>
              <w:rPr>
                <w:rFonts w:ascii="Times New Roman" w:hAnsi="Times New Roman" w:cs="Times New Roman"/>
                <w:bCs/>
                <w:sz w:val="24"/>
                <w:szCs w:val="24"/>
                <w:lang w:val="nl-NL"/>
              </w:rPr>
            </w:pPr>
            <w:r w:rsidRPr="00642DF1">
              <w:rPr>
                <w:rFonts w:ascii="Times New Roman" w:hAnsi="Times New Roman" w:cs="Times New Roman"/>
                <w:sz w:val="24"/>
                <w:szCs w:val="24"/>
                <w:lang w:val="nl-NL"/>
              </w:rPr>
              <w:t>Chính sách tiền lương, chế độ phụ cấp đối với nhà giáo có tính chất nhạy cảm, tác động rất lớn, ảnh hưởng đến vấn đề tâm lý, ổn định xã hội. Do đó, đề nghị Bộ Giáo dục và Đào tạo phối hợp chặt chẽ với các cơ quan có liên quan để nghiên cứu, xây dựng dự thảo Nghị định, báo cáo cấp có thẩm quyền cho ý kiến hoàn thiện trước khi lấy ý kiến rộng rãi.</w:t>
            </w:r>
          </w:p>
        </w:tc>
        <w:tc>
          <w:tcPr>
            <w:tcW w:w="5528" w:type="dxa"/>
          </w:tcPr>
          <w:p w14:paraId="62DDF5F5" w14:textId="246B1D58" w:rsidR="00852B15" w:rsidRPr="00642DF1" w:rsidRDefault="00852B1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tc>
      </w:tr>
      <w:tr w:rsidR="005C532C" w:rsidRPr="00642DF1" w14:paraId="7BE3EE86" w14:textId="77777777" w:rsidTr="00F5486C">
        <w:trPr>
          <w:jc w:val="center"/>
        </w:trPr>
        <w:tc>
          <w:tcPr>
            <w:tcW w:w="1696" w:type="dxa"/>
          </w:tcPr>
          <w:p w14:paraId="584D0188" w14:textId="3EE00E0F" w:rsidR="005C532C" w:rsidRPr="00093E6E" w:rsidRDefault="005C532C" w:rsidP="005C532C">
            <w:pPr>
              <w:spacing w:after="120"/>
              <w:jc w:val="both"/>
              <w:rPr>
                <w:rFonts w:ascii="Times New Roman" w:eastAsia="Calibri" w:hAnsi="Times New Roman" w:cs="Times New Roman"/>
                <w:b/>
                <w:sz w:val="24"/>
                <w:szCs w:val="24"/>
              </w:rPr>
            </w:pPr>
            <w:r w:rsidRPr="00093E6E">
              <w:rPr>
                <w:rFonts w:ascii="Times New Roman" w:eastAsia="Calibri" w:hAnsi="Times New Roman" w:cs="Times New Roman"/>
                <w:b/>
                <w:sz w:val="24"/>
                <w:szCs w:val="24"/>
              </w:rPr>
              <w:t>Nguồn chi phát sinh</w:t>
            </w:r>
          </w:p>
        </w:tc>
        <w:tc>
          <w:tcPr>
            <w:tcW w:w="1560" w:type="dxa"/>
          </w:tcPr>
          <w:p w14:paraId="1D40B086" w14:textId="2A2F1C82" w:rsidR="005C532C" w:rsidRPr="00642DF1" w:rsidRDefault="005C532C" w:rsidP="005C532C">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55C0D0A8" w14:textId="08C72973" w:rsidR="005C532C" w:rsidRPr="00642DF1" w:rsidRDefault="005C532C" w:rsidP="005C532C">
            <w:pPr>
              <w:spacing w:after="120"/>
              <w:jc w:val="both"/>
              <w:rPr>
                <w:rFonts w:ascii="Times New Roman" w:hAnsi="Times New Roman" w:cs="Times New Roman"/>
                <w:sz w:val="24"/>
                <w:szCs w:val="24"/>
              </w:rPr>
            </w:pPr>
            <w:r w:rsidRPr="00642DF1">
              <w:rPr>
                <w:rFonts w:ascii="Times New Roman" w:hAnsi="Times New Roman" w:cs="Times New Roman"/>
                <w:sz w:val="24"/>
                <w:szCs w:val="24"/>
              </w:rPr>
              <w:t>Cần xác định rõ phần chi bổ sung này do ngân sách Trung ương hay địa phương bảo đảm, tránh tình trạng “có chính sách mà không có nguồn”</w:t>
            </w:r>
          </w:p>
        </w:tc>
        <w:tc>
          <w:tcPr>
            <w:tcW w:w="5528" w:type="dxa"/>
          </w:tcPr>
          <w:p w14:paraId="232C8651" w14:textId="77777777" w:rsidR="005C532C" w:rsidRDefault="005C532C" w:rsidP="005C532C">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bổ sung quy định về nguồn kinh phí như sau:</w:t>
            </w:r>
          </w:p>
          <w:p w14:paraId="7E29A03F" w14:textId="77777777" w:rsidR="005C532C" w:rsidRPr="005C532C" w:rsidRDefault="005C532C" w:rsidP="005C532C">
            <w:pPr>
              <w:spacing w:after="8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w:t>
            </w:r>
            <w:r w:rsidRPr="005C532C">
              <w:rPr>
                <w:rFonts w:ascii="Times New Roman" w:hAnsi="Times New Roman" w:cs="Times New Roman"/>
                <w:b/>
                <w:spacing w:val="-6"/>
                <w:sz w:val="24"/>
                <w:szCs w:val="24"/>
                <w:lang w:val="pt-BR"/>
              </w:rPr>
              <w:t>Điều 10. Nguồn kinh phí</w:t>
            </w:r>
          </w:p>
          <w:p w14:paraId="1DF59463"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Nguồn kinh phí chi trả chính sách tiền lương, chế độ phụ cấp đối với nhà giáo được sử dụng từ nguồn ngân sách nhà nước hoặc nguồn thu sự nghiệp của đơn vị, cụ thể:</w:t>
            </w:r>
          </w:p>
          <w:p w14:paraId="714A6B69"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1. Cơ sở giáo dục công lập tự bảo đảm chi thường xuyên và chi đầu tư và cơ sở giáo dục công lập tự bảo đảm chi thường xuyên: Kinh phí thực hiện chính sách tiền lương, chế độ phụ cấp được đảm bảo từ nguồn thu sự nghiệp của đơn vị.</w:t>
            </w:r>
          </w:p>
          <w:p w14:paraId="4F0785FE"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2. Cơ sở giáo dục tự đảm bảo một phần chi thường xuyên: Kinh phí thực hiện chính sách tiền lương, chế độ phụ cấp được đảm bảo từ nguồn thu sự nghiệp của đơn vị và nguồn ngân sách nhà nước cấp theo phân cấp quản lý ngân sách nhà nước hiện hành.</w:t>
            </w:r>
          </w:p>
          <w:p w14:paraId="61119DE9" w14:textId="6EAC3C02" w:rsidR="005C532C" w:rsidRPr="00642DF1" w:rsidRDefault="005C532C" w:rsidP="005C532C">
            <w:pPr>
              <w:tabs>
                <w:tab w:val="left" w:leader="dot" w:pos="9072"/>
                <w:tab w:val="center" w:leader="dot" w:pos="14572"/>
              </w:tabs>
              <w:spacing w:after="12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3. Cơ sở giáo dục do Nhà nước bảo đảm chi thường xuyên: Kinh phí thực hiện chính sách tiền lương, chế độ phụ cấp được đảm bảo từ nguồn ngân sách nhà nước.</w:t>
            </w:r>
            <w:r>
              <w:rPr>
                <w:rFonts w:ascii="Times New Roman" w:hAnsi="Times New Roman" w:cs="Times New Roman"/>
                <w:spacing w:val="-6"/>
                <w:sz w:val="24"/>
                <w:szCs w:val="24"/>
                <w:lang w:val="pt-BR"/>
              </w:rPr>
              <w:t>”</w:t>
            </w:r>
          </w:p>
        </w:tc>
      </w:tr>
      <w:tr w:rsidR="000C0219" w:rsidRPr="00642DF1" w14:paraId="0F5E69F4" w14:textId="77777777" w:rsidTr="00F5486C">
        <w:trPr>
          <w:jc w:val="center"/>
        </w:trPr>
        <w:tc>
          <w:tcPr>
            <w:tcW w:w="1696" w:type="dxa"/>
          </w:tcPr>
          <w:p w14:paraId="210C7AE0"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76D2AD1A" w14:textId="5F0CFDA1"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0B47B476" w14:textId="12D27B38" w:rsidR="000C0219" w:rsidRPr="00642DF1" w:rsidRDefault="000C0219"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Cần có phụ lục tính toán dự kiến quỹ lương và phụ cấp tăng thêm, nhất là trong bối cảnh cải cách tổng thể tiền lương theo Nghị quyết 27</w:t>
            </w:r>
          </w:p>
        </w:tc>
        <w:tc>
          <w:tcPr>
            <w:tcW w:w="5528" w:type="dxa"/>
          </w:tcPr>
          <w:p w14:paraId="229FB5E1" w14:textId="77777777" w:rsidR="000C0219" w:rsidRDefault="00323D86"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58E2C9A3" w14:textId="5C9A2FAC" w:rsidR="00323D86" w:rsidRPr="00642DF1" w:rsidRDefault="00323D86"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đã số liệu đánh giá từ thông tin chiết suất trên cơ sở dữ liệu Ngành Giáo dục để tính toán chi phí tiền lương phát sinh (như thông tin đã gửi tại dự thảo Tờ trình Nghị định). Đồng thời, đã gửi các địa phương để đánh giá chi phí phát sinh cụ thể.</w:t>
            </w:r>
          </w:p>
        </w:tc>
      </w:tr>
      <w:tr w:rsidR="000C0219" w:rsidRPr="00642DF1" w14:paraId="19783E4D" w14:textId="77777777" w:rsidTr="00F5486C">
        <w:trPr>
          <w:jc w:val="center"/>
        </w:trPr>
        <w:tc>
          <w:tcPr>
            <w:tcW w:w="1696" w:type="dxa"/>
          </w:tcPr>
          <w:p w14:paraId="0A7C6C3A"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625094B5" w14:textId="6270D3CA"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4865C0F7" w14:textId="4ABFDE29" w:rsidR="000C0219" w:rsidRPr="00642DF1" w:rsidRDefault="000C0219"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Dự thảo Nghị định chưa có quy định về ngân sách bảo đảm. Nội dung này cần được nghiên cứu bổ sung, đảm bảo tính minh bạch của quy định, phù hợp với pháp luật về ngân sách nhà nước (kinh phí do ngân sách nhà nước bảo đảm hay kinh phí do đơn vị sự nghiệp công lập bảo đảm).</w:t>
            </w:r>
          </w:p>
        </w:tc>
        <w:tc>
          <w:tcPr>
            <w:tcW w:w="5528" w:type="dxa"/>
          </w:tcPr>
          <w:p w14:paraId="35BDCB37" w14:textId="77777777" w:rsidR="000C0219" w:rsidRDefault="005C532C" w:rsidP="005C532C">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bổ sung quy định về nguồn kinh phí như sau:</w:t>
            </w:r>
          </w:p>
          <w:p w14:paraId="4D29C6B6" w14:textId="6926FF15" w:rsidR="005C532C" w:rsidRPr="005C532C" w:rsidRDefault="005C532C" w:rsidP="005C532C">
            <w:pPr>
              <w:spacing w:after="8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w:t>
            </w:r>
            <w:r w:rsidRPr="005C532C">
              <w:rPr>
                <w:rFonts w:ascii="Times New Roman" w:hAnsi="Times New Roman" w:cs="Times New Roman"/>
                <w:b/>
                <w:spacing w:val="-6"/>
                <w:sz w:val="24"/>
                <w:szCs w:val="24"/>
                <w:lang w:val="pt-BR"/>
              </w:rPr>
              <w:t>Điều 10. Nguồn kinh phí</w:t>
            </w:r>
          </w:p>
          <w:p w14:paraId="56B91AC5"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Nguồn kinh phí chi trả chính sách tiền lương, chế độ phụ cấp đối với nhà giáo được sử dụng từ nguồn ngân sách nhà nước hoặc nguồn thu sự nghiệp của đơn vị, cụ thể:</w:t>
            </w:r>
          </w:p>
          <w:p w14:paraId="1644CB90"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1. Cơ sở giáo dục công lập tự bảo đảm chi thường xuyên và chi đầu tư và cơ sở giáo dục công lập tự bảo đảm chi thường xuyên: Kinh phí thực hiện chính sách tiền lương, chế độ phụ cấp được đảm bảo từ nguồn thu sự nghiệp của đơn vị.</w:t>
            </w:r>
          </w:p>
          <w:p w14:paraId="68421E8A" w14:textId="77777777" w:rsidR="005C532C" w:rsidRPr="005C532C" w:rsidRDefault="005C532C" w:rsidP="005C532C">
            <w:pPr>
              <w:spacing w:after="8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2. Cơ sở giáo dục tự đảm bảo một phần chi thường xuyên: Kinh phí thực hiện chính sách tiền lương, chế độ phụ cấp được đảm bảo từ nguồn thu sự nghiệp của đơn vị và nguồn ngân sách nhà nước cấp theo phân cấp quản lý ngân sách nhà nước hiện hành.</w:t>
            </w:r>
          </w:p>
          <w:p w14:paraId="02A89C13" w14:textId="3E52201A" w:rsidR="005C532C" w:rsidRPr="00642DF1" w:rsidRDefault="005C532C" w:rsidP="005C532C">
            <w:pPr>
              <w:tabs>
                <w:tab w:val="left" w:leader="dot" w:pos="9072"/>
                <w:tab w:val="center" w:leader="dot" w:pos="14572"/>
              </w:tabs>
              <w:spacing w:after="120"/>
              <w:jc w:val="both"/>
              <w:rPr>
                <w:rFonts w:ascii="Times New Roman" w:hAnsi="Times New Roman" w:cs="Times New Roman"/>
                <w:spacing w:val="-6"/>
                <w:sz w:val="24"/>
                <w:szCs w:val="24"/>
                <w:lang w:val="pt-BR"/>
              </w:rPr>
            </w:pPr>
            <w:r w:rsidRPr="005C532C">
              <w:rPr>
                <w:rFonts w:ascii="Times New Roman" w:hAnsi="Times New Roman" w:cs="Times New Roman"/>
                <w:spacing w:val="-6"/>
                <w:sz w:val="24"/>
                <w:szCs w:val="24"/>
                <w:lang w:val="pt-BR"/>
              </w:rPr>
              <w:t>3. Cơ sở giáo dục do Nhà nước bảo đảm chi thường xuyên: Kinh phí thực hiện chính sách tiền lương, chế độ phụ cấp được đảm bảo từ nguồn ngân sách nhà nước.</w:t>
            </w:r>
            <w:r>
              <w:rPr>
                <w:rFonts w:ascii="Times New Roman" w:hAnsi="Times New Roman" w:cs="Times New Roman"/>
                <w:spacing w:val="-6"/>
                <w:sz w:val="24"/>
                <w:szCs w:val="24"/>
                <w:lang w:val="pt-BR"/>
              </w:rPr>
              <w:t>”</w:t>
            </w:r>
          </w:p>
        </w:tc>
      </w:tr>
      <w:tr w:rsidR="000C0219" w:rsidRPr="00642DF1" w14:paraId="6A5C9B8F" w14:textId="77777777" w:rsidTr="00F5486C">
        <w:trPr>
          <w:jc w:val="center"/>
        </w:trPr>
        <w:tc>
          <w:tcPr>
            <w:tcW w:w="1696" w:type="dxa"/>
          </w:tcPr>
          <w:p w14:paraId="0E33F974"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7AF588D1" w14:textId="3E864ACB"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7DC8AE9D" w14:textId="77777777" w:rsidR="000C0219" w:rsidRPr="00642DF1" w:rsidRDefault="000C0219" w:rsidP="00323D86">
            <w:pPr>
              <w:tabs>
                <w:tab w:val="left" w:pos="720"/>
                <w:tab w:val="left" w:pos="990"/>
                <w:tab w:val="left" w:pos="1170"/>
              </w:tabs>
              <w:spacing w:after="120"/>
              <w:jc w:val="both"/>
              <w:rPr>
                <w:rFonts w:ascii="Times New Roman" w:hAnsi="Times New Roman" w:cs="Times New Roman"/>
                <w:sz w:val="24"/>
                <w:szCs w:val="24"/>
                <w:lang w:val="nl-NL"/>
              </w:rPr>
            </w:pPr>
            <w:r w:rsidRPr="00642DF1">
              <w:rPr>
                <w:rFonts w:ascii="Times New Roman" w:hAnsi="Times New Roman" w:cs="Times New Roman"/>
                <w:sz w:val="24"/>
                <w:szCs w:val="24"/>
                <w:lang w:val="nl-NL"/>
              </w:rPr>
              <w:t>Hiện nay, Bộ Giáo dục và Đào tạo đang xây dựng dự thảo Nghị định quy định chế độ phụ cấp ưu đãi theo nghề đối với viên chức, người lao động trong các cơ sở giáo dục công lập. Đồng thời, dự thảo Nghị quyết của Quốc hội về một số cơ chế, chính sách đặc thù, vượt trội để thực hiện đột phá phát triển giáo dục và đào tạo theo Nghị quyết số 71-NQ/TW ngày 22 tháng 8 năm 2025 của Bộ Chính trị về đột phá phát triển giáo dục và đào tạo, khoản 2a Điều 2 dự thảo Nghị quyết kèm theo Tờ trình số 924/TTr-CP ngày 14 tháng 10 năm 2025 của Chính phủ trình Ủy ban Thường vụ Quốc hội quy định “</w:t>
            </w:r>
            <w:r w:rsidRPr="00642DF1">
              <w:rPr>
                <w:rFonts w:ascii="Times New Roman" w:hAnsi="Times New Roman" w:cs="Times New Roman"/>
                <w:i/>
                <w:iCs/>
                <w:sz w:val="24"/>
                <w:szCs w:val="24"/>
                <w:lang w:val="nl-NL"/>
              </w:rPr>
              <w:t>Phụ cấp ưu đãi nghề được thực hiện theo lộ trình với mức tối thiểu 70% đối với giáo viên, 30% đối với nhân viên và 100% đối với giáo viên công tác tại vùng có điều kiện kinh tế – xã hội đặc biệt khó khăn, biên giới, hải đảo, vùng đồng bào dân tộc thiểu số, miền núi và trường chuyên biệt</w:t>
            </w:r>
            <w:r w:rsidRPr="00642DF1">
              <w:rPr>
                <w:rFonts w:ascii="Times New Roman" w:hAnsi="Times New Roman" w:cs="Times New Roman"/>
                <w:sz w:val="24"/>
                <w:szCs w:val="24"/>
                <w:lang w:val="nl-NL"/>
              </w:rPr>
              <w:t>”.</w:t>
            </w:r>
          </w:p>
          <w:p w14:paraId="388EA42D" w14:textId="16DFABEF" w:rsidR="000C0219" w:rsidRPr="00642DF1" w:rsidRDefault="000C0219"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lang w:val="nl-NL"/>
              </w:rPr>
              <w:t>Như vậy, cùng với dự thảo Nghị định này, trong thời gian tới dự kiến triển khai cùng lúc nhiều nội dung liên quan đến chế độ tiền lương, phụ cấp cho ngành giáo dục. Qua rà soát sơ bộ, ngoài đối tượng vị trí việc làm về quản lý giáo dục, thì vị trí việc làm là nhà giáo đều thuộc đối tượng áp dụng và phạm vi điều chỉnh của cả 02 Nghị định trên và Nghị quyết của Quốc hội, đều là chính sách tiền lương trong ngành giáo dục. Do đó, phù hợp với nguyên tắc chung về xây dựng hệ thống chính sách tiền lương quốc gia khoa học, minh bạch, thống nhất trong toàn hệ thống chính trị, phù hợp với tình hình thực tiễn đất nước, bảo đảm tương quan cân đối, công bằng, bình đẳng giữa các đối tượng, khả năng cân đối của ngân sách nhà nước, đề nghị Bộ Giáo dục và Đào tạo rà soát, đánh giá, xác định tổng thể tác động của tất cả các chính sách dự kiến áp dụng đồng loạt trong thời gian tới đến thu nhập từ tiền lương trong ngành giáo dục với các ngành, nghề, vị trí, chức danh khác cũng như khả năng đáp ứng và cân đối ngân sách nhà nước hiện nay để đề xuất các quy định phù hợp tại dự thảo Nghị định.</w:t>
            </w:r>
          </w:p>
        </w:tc>
        <w:tc>
          <w:tcPr>
            <w:tcW w:w="5528" w:type="dxa"/>
          </w:tcPr>
          <w:p w14:paraId="4221A7B6" w14:textId="77777777" w:rsidR="000C0219" w:rsidRDefault="005C532C"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533D1BB4" w14:textId="36C86CA4" w:rsidR="005C532C" w:rsidRPr="00642DF1" w:rsidRDefault="005C532C"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Trong thời gian đăng mạng hồ sơ Nghị định, Bộ GDĐT đã đề nghị địa phương đánh giá tác động tổng thể về chi phí phát sinh trả lương, chế độ phụ cấp (bao gồm cả chế độ phụ cấp ưu đãi theo nghề) để có căn cứ gửi Bộ Tài chính nghiên cứu, cân đối nguồn ngân sách thực hiện.</w:t>
            </w:r>
          </w:p>
        </w:tc>
      </w:tr>
      <w:tr w:rsidR="00642DF1" w:rsidRPr="00642DF1" w14:paraId="3F7F00F4" w14:textId="77777777" w:rsidTr="00F5486C">
        <w:trPr>
          <w:jc w:val="center"/>
        </w:trPr>
        <w:tc>
          <w:tcPr>
            <w:tcW w:w="1696" w:type="dxa"/>
          </w:tcPr>
          <w:p w14:paraId="1BB0D9FD" w14:textId="33E7E6CA" w:rsidR="00642DF1" w:rsidRPr="00093E6E" w:rsidRDefault="00642DF1" w:rsidP="00642DF1">
            <w:pPr>
              <w:spacing w:after="120"/>
              <w:jc w:val="both"/>
              <w:rPr>
                <w:rFonts w:ascii="Times New Roman" w:eastAsia="Calibri" w:hAnsi="Times New Roman" w:cs="Times New Roman"/>
                <w:b/>
                <w:sz w:val="24"/>
                <w:szCs w:val="24"/>
              </w:rPr>
            </w:pPr>
            <w:r w:rsidRPr="00093E6E">
              <w:rPr>
                <w:rFonts w:ascii="Times New Roman" w:eastAsia="Calibri" w:hAnsi="Times New Roman" w:cs="Times New Roman"/>
                <w:b/>
                <w:sz w:val="24"/>
                <w:szCs w:val="24"/>
              </w:rPr>
              <w:t>Lộ trình xây dựng tiền lương đối với nhà giáo</w:t>
            </w:r>
          </w:p>
        </w:tc>
        <w:tc>
          <w:tcPr>
            <w:tcW w:w="1560" w:type="dxa"/>
          </w:tcPr>
          <w:p w14:paraId="6AA772E8" w14:textId="2CC710E3" w:rsidR="00642DF1" w:rsidRPr="00642DF1" w:rsidRDefault="00642DF1"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Nội vụ</w:t>
            </w:r>
          </w:p>
        </w:tc>
        <w:tc>
          <w:tcPr>
            <w:tcW w:w="5953" w:type="dxa"/>
          </w:tcPr>
          <w:p w14:paraId="34F030BB" w14:textId="69B4812E" w:rsidR="00642DF1" w:rsidRPr="00642DF1" w:rsidRDefault="00642DF1" w:rsidP="00642DF1">
            <w:pPr>
              <w:tabs>
                <w:tab w:val="left" w:pos="720"/>
                <w:tab w:val="left" w:pos="990"/>
                <w:tab w:val="left" w:pos="1170"/>
              </w:tabs>
              <w:spacing w:after="120"/>
              <w:jc w:val="both"/>
              <w:rPr>
                <w:rFonts w:ascii="Times New Roman" w:hAnsi="Times New Roman" w:cs="Times New Roman"/>
                <w:sz w:val="24"/>
                <w:szCs w:val="24"/>
                <w:lang w:val="nl-NL"/>
              </w:rPr>
            </w:pPr>
            <w:r w:rsidRPr="00642DF1">
              <w:rPr>
                <w:rFonts w:ascii="Times New Roman" w:hAnsi="Times New Roman" w:cs="Times New Roman"/>
                <w:sz w:val="24"/>
                <w:szCs w:val="24"/>
              </w:rPr>
              <w:t xml:space="preserve">Tại điểm 5.2 khoản 5 Kết luận số 83-KL/TW ngày 21/6/2024 về cải cách tiền lương; điều chỉnh lương hưu, trợ cấp bảo hiểm xã hội, trợ cấp ưu đãi người có công và trợ cấp xã hội từ ngày 01/7/2024, Bộ Chính trị đã giao Ban Kinh tế Trung ương (nay là Ban Chính sách, chiến lược Trung ương) chủ trì sơ kết việc thực hiện Nghị quyết số 27-NQ/TW, trong đó phối hợp với Ban cán sự đảng Bộ Nội vụ (nay là Đảng ủy Bộ Nội vụ) và các ban, bộ, ngành có liên quan nghiên cứu đánh giá sự phù hợp, tính khả thi và đề xuất việc thực hiện 5 bảng lương và 9 chế độ phụ cấp mới của khu vực công cho phù hợp để trình Trung ương xem xét sau năm 2026 khi Bộ Chính trị ban hành và triển khai thực hiện hệ thống Danh mục vị trí việc làm trong hệ thống chính trị. Theo đó, việc triển khai xây dựng hệ thống văn bản quy phạm pháp luật về chế độ tiền lương mới đối với cán bộ, công chức, viên chức nói chung và viên chức ngành giáo dục nói riêng (có tính đến ngành nghề, công việc có yếu tố điều kiện lao động cao hơn bình thường và có chính sách ưu đãi của Nhà nước) được thực hiện sau khi Bộ Chính trị xem xét, thông qua các nội dung cụ thể của chế độ tiền lương mới, bảo đảm phù hợp với quy định của Đảng, quy định của pháp luật và khả năng ngân sách của Nhà nước. </w:t>
            </w:r>
          </w:p>
        </w:tc>
        <w:tc>
          <w:tcPr>
            <w:tcW w:w="5528" w:type="dxa"/>
          </w:tcPr>
          <w:p w14:paraId="03983B25" w14:textId="77777777" w:rsidR="00642DF1" w:rsidRDefault="00F935C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7D8A58D6" w14:textId="611A7D8C" w:rsidR="00F935C5" w:rsidRPr="00642DF1" w:rsidRDefault="00F935C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Khi Chính phủ xây dựng chính sách tiền lương mới, Bộ GDĐT sẽ đề xuất việc xếp lại lương của nhà giáo để bảo đảm thực hiện đúng chủ trương, chính sách “</w:t>
            </w:r>
            <w:r w:rsidRPr="00F935C5">
              <w:rPr>
                <w:rFonts w:ascii="Times New Roman" w:hAnsi="Times New Roman" w:cs="Times New Roman"/>
                <w:i/>
                <w:spacing w:val="-6"/>
                <w:sz w:val="24"/>
                <w:szCs w:val="24"/>
                <w:lang w:val="pt-BR"/>
              </w:rPr>
              <w:t>lương của nhà giáo được xếp cao nhất trong hệ thống thang bậc lương hành chính sự nghiệp</w:t>
            </w:r>
            <w:r>
              <w:rPr>
                <w:rFonts w:ascii="Times New Roman" w:hAnsi="Times New Roman" w:cs="Times New Roman"/>
                <w:spacing w:val="-6"/>
                <w:sz w:val="24"/>
                <w:szCs w:val="24"/>
                <w:lang w:val="pt-BR"/>
              </w:rPr>
              <w:t>”.</w:t>
            </w:r>
          </w:p>
        </w:tc>
      </w:tr>
      <w:tr w:rsidR="000C0219" w:rsidRPr="00642DF1" w14:paraId="50DB0EF6" w14:textId="77777777" w:rsidTr="00F5486C">
        <w:trPr>
          <w:jc w:val="center"/>
        </w:trPr>
        <w:tc>
          <w:tcPr>
            <w:tcW w:w="1696" w:type="dxa"/>
          </w:tcPr>
          <w:p w14:paraId="4E772E43" w14:textId="5D097CC8" w:rsidR="000C0219" w:rsidRPr="00093E6E" w:rsidRDefault="000C0219" w:rsidP="00642DF1">
            <w:pPr>
              <w:spacing w:after="120"/>
              <w:jc w:val="both"/>
              <w:rPr>
                <w:rFonts w:ascii="Times New Roman" w:eastAsia="Calibri" w:hAnsi="Times New Roman" w:cs="Times New Roman"/>
                <w:b/>
                <w:sz w:val="24"/>
                <w:szCs w:val="24"/>
              </w:rPr>
            </w:pPr>
            <w:r w:rsidRPr="00093E6E">
              <w:rPr>
                <w:rFonts w:ascii="Times New Roman" w:eastAsia="Calibri" w:hAnsi="Times New Roman" w:cs="Times New Roman"/>
                <w:b/>
                <w:sz w:val="24"/>
                <w:szCs w:val="24"/>
              </w:rPr>
              <w:t>Nguồn lực thực hiện</w:t>
            </w:r>
          </w:p>
        </w:tc>
        <w:tc>
          <w:tcPr>
            <w:tcW w:w="1560" w:type="dxa"/>
          </w:tcPr>
          <w:p w14:paraId="4D36AC16" w14:textId="2ABD4988"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2A917A94" w14:textId="77777777" w:rsidR="000C0219" w:rsidRPr="00642DF1" w:rsidRDefault="000C0219" w:rsidP="00F935C5">
            <w:pPr>
              <w:tabs>
                <w:tab w:val="left" w:pos="990"/>
                <w:tab w:val="left" w:pos="1170"/>
              </w:tabs>
              <w:spacing w:after="120"/>
              <w:ind w:left="90"/>
              <w:jc w:val="both"/>
              <w:rPr>
                <w:rFonts w:ascii="Times New Roman" w:hAnsi="Times New Roman" w:cs="Times New Roman"/>
                <w:sz w:val="24"/>
                <w:szCs w:val="24"/>
                <w:lang w:val="nl-NL"/>
              </w:rPr>
            </w:pPr>
            <w:r w:rsidRPr="00642DF1">
              <w:rPr>
                <w:rFonts w:ascii="Times New Roman" w:hAnsi="Times New Roman" w:cs="Times New Roman"/>
                <w:sz w:val="24"/>
                <w:szCs w:val="24"/>
                <w:lang w:val="nl-NL"/>
              </w:rPr>
              <w:t>Bộ Tài chính đã trình Trung ương, Bộ Chính trị, Chính phủ và Thủ tướng Chính phủ đồng ý các chủ trương về nhiệm vụ, giải pháp tại các báo cáo dự toán ngân sách nhà nước năm 2026, kế hoạch tài chính 05 năm quốc gia giai đoạn 2026-2030. Trên cơ sở đó, Chính phủ đã báo cáo Quốc hội và trình dự thảo Nghị quyết của Quốc hội về các nội dung này</w:t>
            </w:r>
            <w:r w:rsidRPr="00642DF1">
              <w:rPr>
                <w:rStyle w:val="FootnoteReference"/>
                <w:rFonts w:ascii="Times New Roman" w:hAnsi="Times New Roman" w:cs="Times New Roman"/>
                <w:sz w:val="24"/>
                <w:szCs w:val="24"/>
              </w:rPr>
              <w:footnoteReference w:id="2"/>
            </w:r>
            <w:r w:rsidRPr="00642DF1">
              <w:rPr>
                <w:rFonts w:ascii="Times New Roman" w:hAnsi="Times New Roman" w:cs="Times New Roman"/>
                <w:sz w:val="24"/>
                <w:szCs w:val="24"/>
                <w:lang w:val="nl-NL"/>
              </w:rPr>
              <w:t>, theo đó đã quy định “</w:t>
            </w:r>
            <w:r w:rsidRPr="00642DF1">
              <w:rPr>
                <w:rFonts w:ascii="Times New Roman" w:hAnsi="Times New Roman" w:cs="Times New Roman"/>
                <w:i/>
                <w:iCs/>
                <w:sz w:val="24"/>
                <w:szCs w:val="24"/>
                <w:lang w:val="nl-NL"/>
              </w:rPr>
              <w:t>chỉ ban hành chế độ, chính sách, nhiệm vụ làm tăng chi ngân sách nhà nước khi đã rà soát tính cần thiết, đánh giá kỹ tính hiệu lực, hiệu quả, đảm bảo không trùng lặp và trong phạm vi nguồn lực ngân sách nhà nước”.</w:t>
            </w:r>
            <w:r w:rsidRPr="00642DF1">
              <w:rPr>
                <w:rFonts w:ascii="Times New Roman" w:hAnsi="Times New Roman" w:cs="Times New Roman"/>
                <w:sz w:val="24"/>
                <w:szCs w:val="24"/>
                <w:lang w:val="nl-NL"/>
              </w:rPr>
              <w:t xml:space="preserve"> Tại hồ sơ xin ý kiến, Bộ Giáo dục và Đào tạo chưa có Báo cáo đánh giá tác động ngân sách. </w:t>
            </w:r>
          </w:p>
          <w:p w14:paraId="4574A979" w14:textId="637EFE22" w:rsidR="000C0219" w:rsidRPr="00642DF1" w:rsidRDefault="000C0219" w:rsidP="00642DF1">
            <w:pPr>
              <w:tabs>
                <w:tab w:val="left" w:pos="990"/>
                <w:tab w:val="left" w:pos="1170"/>
              </w:tabs>
              <w:spacing w:after="120"/>
              <w:ind w:left="90" w:firstLine="630"/>
              <w:jc w:val="both"/>
              <w:rPr>
                <w:rFonts w:ascii="Times New Roman" w:hAnsi="Times New Roman" w:cs="Times New Roman"/>
                <w:sz w:val="24"/>
                <w:szCs w:val="24"/>
                <w:lang w:val="nl-NL"/>
              </w:rPr>
            </w:pPr>
            <w:r w:rsidRPr="00642DF1">
              <w:rPr>
                <w:rFonts w:ascii="Times New Roman" w:hAnsi="Times New Roman" w:cs="Times New Roman"/>
                <w:sz w:val="24"/>
                <w:szCs w:val="24"/>
                <w:lang w:val="nl-NL"/>
              </w:rPr>
              <w:t>Do đó, đ</w:t>
            </w:r>
            <w:r w:rsidRPr="00642DF1">
              <w:rPr>
                <w:rFonts w:ascii="Times New Roman" w:hAnsi="Times New Roman" w:cs="Times New Roman"/>
                <w:bCs/>
                <w:sz w:val="24"/>
                <w:szCs w:val="24"/>
                <w:lang w:val="nl-NL"/>
              </w:rPr>
              <w:t xml:space="preserve">ề nghị </w:t>
            </w:r>
            <w:r w:rsidRPr="00642DF1">
              <w:rPr>
                <w:rFonts w:ascii="Times New Roman" w:hAnsi="Times New Roman" w:cs="Times New Roman"/>
                <w:sz w:val="24"/>
                <w:szCs w:val="24"/>
                <w:lang w:val="nl-NL"/>
              </w:rPr>
              <w:t xml:space="preserve">Bộ Giáo dục và Đào tạo </w:t>
            </w:r>
            <w:r w:rsidRPr="00642DF1">
              <w:rPr>
                <w:rFonts w:ascii="Times New Roman" w:hAnsi="Times New Roman" w:cs="Times New Roman"/>
                <w:bCs/>
                <w:sz w:val="24"/>
                <w:szCs w:val="24"/>
                <w:lang w:val="nl-NL"/>
              </w:rPr>
              <w:t>rà soát, bổ sung nội dung đánh giá tác động về ngân sách, trong đó dự kiến nhu cầu kinh phí ngân sách nhà nước thực hiện chính sách, trách nhiệm đảm bảo từng chính sách phù hợp với phân cấp ngân sách nhà nước (ngân sách trung ương và ngân sách địa phương), phối hợp với Bộ Nội vụ báo cáo cấp có thẩm quyền cụ thể phương án, lộ trình thực hiện để đảm bảo phù hợp khả năng cân đối của ngân sách nhà nước.</w:t>
            </w:r>
            <w:r w:rsidRPr="00642DF1">
              <w:rPr>
                <w:rFonts w:ascii="Times New Roman" w:hAnsi="Times New Roman" w:cs="Times New Roman"/>
                <w:sz w:val="24"/>
                <w:szCs w:val="24"/>
                <w:lang w:val="nl-NL"/>
              </w:rPr>
              <w:t xml:space="preserve"> Trên cơ sở đó, Bộ Tài chính có đủ cơ sở để tham gia ý kiến về nguồn lực thực hiện chính sách</w:t>
            </w:r>
            <w:r w:rsidRPr="00642DF1">
              <w:rPr>
                <w:rFonts w:ascii="Times New Roman" w:hAnsi="Times New Roman" w:cs="Times New Roman"/>
                <w:bCs/>
                <w:sz w:val="24"/>
                <w:szCs w:val="24"/>
                <w:lang w:val="nl-NL"/>
              </w:rPr>
              <w:t>.</w:t>
            </w:r>
          </w:p>
        </w:tc>
        <w:tc>
          <w:tcPr>
            <w:tcW w:w="5528" w:type="dxa"/>
          </w:tcPr>
          <w:p w14:paraId="1BBC71E2" w14:textId="77777777" w:rsidR="000C0219" w:rsidRDefault="00F935C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14DAE7A9" w14:textId="77777777" w:rsidR="00F935C5" w:rsidRDefault="00F935C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Trong dự thảo Tờ trình Chính phủ gửi Bộ Tài chính cho ý kiến góp ý tại Công văn số 6943/BGDĐT-NGCBQLGD ngày 29/10/2025, Bộ GDĐT đã gửi kèm đánh giá tác động về ngân sách phát sinh cho các chính sách quy định tại dự thảo Nghị định, cùng bảng tính theo số lượng giáo viên ở từng hệ số lương cụ thể. Số liệu này được chiết suất trên cơ sở dữ liệu ngành.</w:t>
            </w:r>
          </w:p>
          <w:p w14:paraId="27966CDC" w14:textId="7B975415" w:rsidR="00F935C5" w:rsidRPr="00642DF1" w:rsidRDefault="00F935C5"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Đồng thời, </w:t>
            </w:r>
            <w:r w:rsidR="00411447">
              <w:rPr>
                <w:rFonts w:ascii="Times New Roman" w:hAnsi="Times New Roman" w:cs="Times New Roman"/>
                <w:spacing w:val="-6"/>
                <w:sz w:val="24"/>
                <w:szCs w:val="24"/>
                <w:lang w:val="pt-BR"/>
              </w:rPr>
              <w:t>trong thời gian đăng mạng hồ sơ Nghị định, Bộ GDĐT đã đề nghị địa phương đánh giá tác động tổng thể về chi phí phát sinh trả lương, chế độ phụ cấp (bao gồm cả chế độ phụ cấp ưu đãi theo nghề) để có căn cứ gửi Bộ Tài chính nghiên cứu, cân đối nguồn ngân sách thực hiện.</w:t>
            </w:r>
          </w:p>
        </w:tc>
      </w:tr>
      <w:tr w:rsidR="000C0219" w:rsidRPr="00642DF1" w14:paraId="32DC8325" w14:textId="77777777" w:rsidTr="00F5486C">
        <w:trPr>
          <w:jc w:val="center"/>
        </w:trPr>
        <w:tc>
          <w:tcPr>
            <w:tcW w:w="1696" w:type="dxa"/>
          </w:tcPr>
          <w:p w14:paraId="6AC3B322" w14:textId="7FB13DD6" w:rsidR="000C0219" w:rsidRPr="00093E6E" w:rsidRDefault="000C0219" w:rsidP="00642DF1">
            <w:pPr>
              <w:spacing w:after="120"/>
              <w:jc w:val="both"/>
              <w:rPr>
                <w:rFonts w:ascii="Times New Roman" w:eastAsia="Calibri" w:hAnsi="Times New Roman" w:cs="Times New Roman"/>
                <w:b/>
                <w:sz w:val="24"/>
                <w:szCs w:val="24"/>
              </w:rPr>
            </w:pPr>
            <w:r w:rsidRPr="00093E6E">
              <w:rPr>
                <w:rFonts w:ascii="Times New Roman" w:eastAsia="Calibri" w:hAnsi="Times New Roman" w:cs="Times New Roman"/>
                <w:b/>
                <w:sz w:val="24"/>
                <w:szCs w:val="24"/>
              </w:rPr>
              <w:t>Điều 2. Đối tượng áp dụng</w:t>
            </w:r>
          </w:p>
        </w:tc>
        <w:tc>
          <w:tcPr>
            <w:tcW w:w="1560" w:type="dxa"/>
          </w:tcPr>
          <w:p w14:paraId="70BBFFB5" w14:textId="4BCBDD48"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Quốc phòng</w:t>
            </w:r>
          </w:p>
        </w:tc>
        <w:tc>
          <w:tcPr>
            <w:tcW w:w="5953" w:type="dxa"/>
          </w:tcPr>
          <w:p w14:paraId="025DC55A" w14:textId="77777777"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Đề nghị bổ sung đối tượng “</w:t>
            </w:r>
            <w:bookmarkStart w:id="2" w:name="_Hlk216450850"/>
            <w:r w:rsidRPr="00642DF1">
              <w:rPr>
                <w:rFonts w:ascii="Times New Roman" w:hAnsi="Times New Roman" w:cs="Times New Roman"/>
                <w:bCs/>
                <w:sz w:val="24"/>
                <w:szCs w:val="24"/>
              </w:rPr>
              <w:t>Nhà giáo đang giảng dạy tại các học viện, nhà trường thuộc lực lượng vũ trang</w:t>
            </w:r>
            <w:bookmarkEnd w:id="2"/>
            <w:r w:rsidRPr="00642DF1">
              <w:rPr>
                <w:rFonts w:ascii="Times New Roman" w:hAnsi="Times New Roman" w:cs="Times New Roman"/>
                <w:bCs/>
                <w:sz w:val="24"/>
                <w:szCs w:val="24"/>
              </w:rPr>
              <w:t>”</w:t>
            </w:r>
          </w:p>
          <w:p w14:paraId="456E30B5" w14:textId="77777777"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Lý do: Để phù hợp với quy định tại (i) Khoản 1 Điều 31 Luật Sĩ quan Quân đội nhân dân Việt Nam đã được sửa đổi, bổ sung năm 2024 “Sĩ quan được hưởng phụ cấp, trợ cấp như đối với cán bộ, công chức có cùng ngành, nghề làm việc, điều kiện làm việc và phụ cấp, trợ cấp có tính chất đặc thù quân sự”; (ii) điểm b khoản 2 Điều 36 Luật Quân nhân chuyên nghiệp, công nhân và viên chức quốc phòng: “Quân nhân chuyên nghiệp, công nhân và viên chức quốc phòng được hưởng phụ cấp, trợ cấp như đối với cán bộ, công chức, viên chức có cùng điều kiện làm việc”.</w:t>
            </w:r>
          </w:p>
          <w:p w14:paraId="774DB338" w14:textId="3F7F60C2"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Nếu nhà giáo thuộc lực lượng vũ trang không được áp dụng cá chế độ phụ cấp ưu đãi như đối với viên chức giáo dục (mặc dù có cùng điều kiện làm việc, cùng ngành, nghề làm việc) thì sẽ dẫn tới mất tính tương quan về tiền lương giữa đối tượng thuộc lực lượng vũ trang so với viên chức; ảnh hưởng đến việc thu hút nguồn nhân lực chất lượng cao vào phục vụ trong quân đội.</w:t>
            </w:r>
          </w:p>
        </w:tc>
        <w:tc>
          <w:tcPr>
            <w:tcW w:w="5528" w:type="dxa"/>
          </w:tcPr>
          <w:p w14:paraId="7AE15DE8" w14:textId="1BDA7E80" w:rsidR="00BF6282" w:rsidRPr="00642DF1" w:rsidRDefault="00BF6282"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Đề nghị bảo lưu để bảo đảm đồng bộ với quy định của nhà giáo thuộc lực lượng công an. Hiện tại, Bộ Công an đang xây dựng </w:t>
            </w:r>
            <w:r w:rsidRPr="00BF6282">
              <w:rPr>
                <w:rFonts w:ascii="Times New Roman" w:hAnsi="Times New Roman" w:cs="Times New Roman"/>
                <w:spacing w:val="-6"/>
                <w:sz w:val="24"/>
                <w:szCs w:val="24"/>
                <w:lang w:val="pt-BR"/>
              </w:rPr>
              <w:t>Thông tư quy định về một số chế độ chi cho hoạt động giáo dục, đào tạo trong Công an nhân dân</w:t>
            </w:r>
            <w:r>
              <w:rPr>
                <w:rFonts w:ascii="Times New Roman" w:hAnsi="Times New Roman" w:cs="Times New Roman"/>
                <w:spacing w:val="-6"/>
                <w:sz w:val="24"/>
                <w:szCs w:val="24"/>
                <w:lang w:val="pt-BR"/>
              </w:rPr>
              <w:t xml:space="preserve"> để bảo đảm các chế độ đặc thù cho đội ngũ nhà giáo thuộc sự quản lý của Bộ Công an.</w:t>
            </w:r>
            <w:r w:rsidR="00733D6D">
              <w:rPr>
                <w:rFonts w:ascii="Times New Roman" w:hAnsi="Times New Roman" w:cs="Times New Roman"/>
                <w:spacing w:val="-6"/>
                <w:sz w:val="24"/>
                <w:szCs w:val="24"/>
                <w:lang w:val="pt-BR"/>
              </w:rPr>
              <w:t xml:space="preserve"> Đối với nhà giáo thuộc sự quản lý của Bộ Quốc phòng, Bộ Quốc phòng có thể ban hành chính sách tương tự để đồng bộ các quy định đối với nhà giáo thuộc lực lượng vũ trang nhân dân.</w:t>
            </w:r>
          </w:p>
        </w:tc>
      </w:tr>
      <w:tr w:rsidR="000C0219" w:rsidRPr="00642DF1" w14:paraId="53F75A4D" w14:textId="77777777" w:rsidTr="00F5486C">
        <w:trPr>
          <w:jc w:val="center"/>
        </w:trPr>
        <w:tc>
          <w:tcPr>
            <w:tcW w:w="1696" w:type="dxa"/>
          </w:tcPr>
          <w:p w14:paraId="69C61A02"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6FE0A8D3" w14:textId="16A5AE78"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18B98849" w14:textId="6D22EF7B"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Đề nghị phối hợp Bộ Nội vụ quy định, hướng dẫn chính sách lương, chế độ phụ cấp đối với nhà giáo, giáo viên, nhân viên tại các cơ sở giáo dục – xã hội đặc thù do tổ chức chính trị - xã hội quản lý. Trong đó, bổ sung các chính sách về thâm niên nghề, phụ cấp trách nhiệm, độc hại đối với nhà giáo thường xuyên tiếp xúc, chăm sóc trẻ khuyết tật, nạn nhân da cam.</w:t>
            </w:r>
          </w:p>
        </w:tc>
        <w:tc>
          <w:tcPr>
            <w:tcW w:w="5528" w:type="dxa"/>
          </w:tcPr>
          <w:p w14:paraId="3C5BE80C" w14:textId="4777BF8E" w:rsidR="000C0219" w:rsidRDefault="00BF6282"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22FE9713" w14:textId="77777777" w:rsidR="00BF6282" w:rsidRDefault="00733D6D"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Theo quy định tại khoản 1 Điều 48 Luật Giáo dục số 43/2019/QH14, trường của  </w:t>
            </w:r>
            <w:r w:rsidR="00BF6282">
              <w:rPr>
                <w:rFonts w:ascii="Times New Roman" w:hAnsi="Times New Roman" w:cs="Times New Roman"/>
                <w:spacing w:val="-6"/>
                <w:sz w:val="24"/>
                <w:szCs w:val="24"/>
                <w:lang w:val="pt-BR"/>
              </w:rPr>
              <w:t>các tổ chức chính trị - xã hội</w:t>
            </w:r>
            <w:r>
              <w:rPr>
                <w:rFonts w:ascii="Times New Roman" w:hAnsi="Times New Roman" w:cs="Times New Roman"/>
                <w:spacing w:val="-6"/>
                <w:sz w:val="24"/>
                <w:szCs w:val="24"/>
                <w:lang w:val="pt-BR"/>
              </w:rPr>
              <w:t xml:space="preserve"> là cơ sở giáo dục của hệ thống giáo dục quốc dân. Do đí, nhà giáo tại các trường của  các tổ chức chính trị - xã hội thuộc đối tượng áp dụng của Nghị định quy định chính sách tiền lương, chế độ phụ cấp đối với nhà giáo.</w:t>
            </w:r>
          </w:p>
          <w:p w14:paraId="20AE2613" w14:textId="3DF3E007" w:rsidR="00733D6D" w:rsidRPr="00642DF1" w:rsidRDefault="00733D6D"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Đối với các tổ chức xã hội hoặc các vị trí việc làm nhân viên không thuộc phạm vi điều chỉnh, đối tượng áp dụng của Nghị định này.</w:t>
            </w:r>
          </w:p>
        </w:tc>
      </w:tr>
      <w:tr w:rsidR="000C0219" w:rsidRPr="00642DF1" w14:paraId="3DD2E980" w14:textId="77777777" w:rsidTr="00F5486C">
        <w:trPr>
          <w:jc w:val="center"/>
        </w:trPr>
        <w:tc>
          <w:tcPr>
            <w:tcW w:w="1696" w:type="dxa"/>
          </w:tcPr>
          <w:p w14:paraId="1602C9F5" w14:textId="77777777" w:rsidR="000C0219" w:rsidRPr="00093E6E" w:rsidRDefault="000C0219" w:rsidP="00642DF1">
            <w:pPr>
              <w:spacing w:after="120"/>
              <w:jc w:val="both"/>
              <w:rPr>
                <w:rFonts w:ascii="Times New Roman" w:eastAsia="Calibri" w:hAnsi="Times New Roman" w:cs="Times New Roman"/>
                <w:b/>
                <w:sz w:val="24"/>
                <w:szCs w:val="24"/>
              </w:rPr>
            </w:pPr>
          </w:p>
        </w:tc>
        <w:tc>
          <w:tcPr>
            <w:tcW w:w="1560" w:type="dxa"/>
          </w:tcPr>
          <w:p w14:paraId="040A6CB6" w14:textId="0C3B2CA2"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0F4A8AA1" w14:textId="0A119043"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Cần bổ sung rõ đối tư</w:t>
            </w:r>
            <w:r w:rsidR="009C510F">
              <w:rPr>
                <w:rFonts w:ascii="Times New Roman" w:hAnsi="Times New Roman" w:cs="Times New Roman"/>
                <w:bCs/>
                <w:sz w:val="24"/>
                <w:szCs w:val="24"/>
              </w:rPr>
              <w:t>ợ</w:t>
            </w:r>
            <w:r w:rsidRPr="00642DF1">
              <w:rPr>
                <w:rFonts w:ascii="Times New Roman" w:hAnsi="Times New Roman" w:cs="Times New Roman"/>
                <w:bCs/>
                <w:sz w:val="24"/>
                <w:szCs w:val="24"/>
              </w:rPr>
              <w:t>ng giảng viên và nhà giáo ở các cơ sở giáo dục nghề nghiệp công lập thuộc bộ, ngành khác (như Bộ Nội vụ) có được áp dụng tương tự hay không.</w:t>
            </w:r>
          </w:p>
          <w:p w14:paraId="1EF93825" w14:textId="31659E07" w:rsidR="000C0219" w:rsidRPr="00642DF1" w:rsidRDefault="000C0219" w:rsidP="00642DF1">
            <w:pPr>
              <w:spacing w:after="120"/>
              <w:jc w:val="both"/>
              <w:rPr>
                <w:rFonts w:ascii="Times New Roman" w:hAnsi="Times New Roman" w:cs="Times New Roman"/>
                <w:bCs/>
                <w:sz w:val="24"/>
                <w:szCs w:val="24"/>
              </w:rPr>
            </w:pPr>
            <w:r w:rsidRPr="00642DF1">
              <w:rPr>
                <w:rFonts w:ascii="Times New Roman" w:hAnsi="Times New Roman" w:cs="Times New Roman"/>
                <w:bCs/>
                <w:sz w:val="24"/>
                <w:szCs w:val="24"/>
              </w:rPr>
              <w:t>Cần làm rõ khái niệm “nhà giáo” trong mối quan hệ với “viên chức giảng dạy” theo Luật Nhà giáo để tránh chồng chéo khi áp dụng.</w:t>
            </w:r>
          </w:p>
        </w:tc>
        <w:tc>
          <w:tcPr>
            <w:tcW w:w="5528" w:type="dxa"/>
          </w:tcPr>
          <w:p w14:paraId="064E8FA2" w14:textId="77777777" w:rsidR="000C0219" w:rsidRDefault="009C510F"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09CDA479" w14:textId="77777777" w:rsidR="009C510F" w:rsidRDefault="009C510F"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Theo Luật Giáo dục số 43/2019/QH14, các cơ sở giáo dục nghề nghiệp là cơ sở giáo dục thuộc hệ thống giáo dục quốc dân. Đồng thời, theo Luật Nhà giáo số 73/2025/QH15, </w:t>
            </w:r>
            <w:r w:rsidRPr="009C510F">
              <w:rPr>
                <w:rFonts w:ascii="Times New Roman" w:hAnsi="Times New Roman" w:cs="Times New Roman"/>
                <w:spacing w:val="-6"/>
                <w:sz w:val="24"/>
                <w:szCs w:val="24"/>
                <w:lang w:val="pt-BR"/>
              </w:rPr>
              <w:t xml:space="preserve">nhà giáo được tuyển dụng làm nhiệm vụ giảng dạy, giáo dục trong cơ sở giáo dục thuộc hệ thống giáo dục quốc dân bào gồm cả </w:t>
            </w:r>
            <w:r>
              <w:rPr>
                <w:rFonts w:ascii="Times New Roman" w:hAnsi="Times New Roman" w:cs="Times New Roman"/>
                <w:spacing w:val="-6"/>
                <w:sz w:val="24"/>
                <w:szCs w:val="24"/>
                <w:lang w:val="pt-BR"/>
              </w:rPr>
              <w:t xml:space="preserve">nhà giáo </w:t>
            </w:r>
            <w:r w:rsidRPr="009C510F">
              <w:rPr>
                <w:rFonts w:ascii="Times New Roman" w:hAnsi="Times New Roman" w:cs="Times New Roman"/>
                <w:spacing w:val="-6"/>
                <w:sz w:val="24"/>
                <w:szCs w:val="24"/>
                <w:lang w:val="pt-BR"/>
              </w:rPr>
              <w:t>giảng dạy, giáo dục chương trình đào tạo trình độ sơ cấp, trình độ trung cấp trong cơ sở giáo dục nghề nghiệp và nhà giáo giảng dạy chương trình đào tạo từ trình độ cao đẳng.</w:t>
            </w:r>
          </w:p>
          <w:p w14:paraId="59EB957E" w14:textId="30D1B576" w:rsidR="009C510F" w:rsidRPr="00642DF1" w:rsidRDefault="009C510F"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Bên cạnh đó, mối quan hệ giữa nhà giáo với viên chức đã được xác định cụ thể trong quá trình xây dựng Luật Nhà giáo. Theo đó, nhà giáo bao gồm cả nhà giáo là viên chức và nhà giáo không là viên chức (nhà giáo hợp đồng lao động).</w:t>
            </w:r>
          </w:p>
        </w:tc>
      </w:tr>
      <w:tr w:rsidR="000C0219" w:rsidRPr="00642DF1" w14:paraId="770B26B5" w14:textId="77777777" w:rsidTr="00F5486C">
        <w:trPr>
          <w:jc w:val="center"/>
        </w:trPr>
        <w:tc>
          <w:tcPr>
            <w:tcW w:w="1696" w:type="dxa"/>
          </w:tcPr>
          <w:p w14:paraId="617CA523" w14:textId="6CF9B4E7" w:rsidR="000C0219" w:rsidRPr="00093E6E" w:rsidRDefault="000C0219" w:rsidP="00642DF1">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3. Bảng lương áp dụng</w:t>
            </w:r>
          </w:p>
        </w:tc>
        <w:tc>
          <w:tcPr>
            <w:tcW w:w="1560" w:type="dxa"/>
          </w:tcPr>
          <w:p w14:paraId="05D807D6" w14:textId="3A27EE61" w:rsidR="000C0219" w:rsidRPr="00642DF1" w:rsidRDefault="000C0219"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4BB1413B" w14:textId="580B2954" w:rsidR="000C0219" w:rsidRPr="00642DF1" w:rsidRDefault="000C0219" w:rsidP="00642DF1">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Chủ trương của Đảng xác định rõ là “lương của nhà giáo được ưu tiên xếp cao nhất trong hệ thống thang bậc lương hành chính sự nghiệp” nhưng vẫn áp dụng bảng lương chuyên môn, nghiệp vụ hiện hành cho hầu hết nhà giáo. Việc chỉ dùng hệ số lương đặc thù để nhân thêm vào mức lương hiện hưởng chỉ làm tăng thu nhập, nhưng chưa giải quyết được vấn đề cơ cấu xếp lương của nhà giáo trong hệ thống thang bậc lương chung. Đề nghị nghiên cứu tính “đặc thù” của nhà giáo để cụ thể hóa thành chính sách trong thang bậc lương sắp tới.</w:t>
            </w:r>
          </w:p>
        </w:tc>
        <w:tc>
          <w:tcPr>
            <w:tcW w:w="5528" w:type="dxa"/>
          </w:tcPr>
          <w:p w14:paraId="2C6FB09D" w14:textId="77777777" w:rsidR="000C0219" w:rsidRDefault="003111F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77FBBC30" w14:textId="77777777" w:rsidR="00183FCB" w:rsidRPr="00183FCB" w:rsidRDefault="00183FCB" w:rsidP="00183FCB">
            <w:pPr>
              <w:pStyle w:val="NormalWeb"/>
              <w:spacing w:beforeAutospacing="0" w:after="120" w:afterAutospacing="0"/>
              <w:jc w:val="both"/>
              <w:rPr>
                <w:rFonts w:eastAsiaTheme="minorHAnsi"/>
                <w:spacing w:val="-6"/>
                <w:lang w:val="pt-BR"/>
              </w:rPr>
            </w:pPr>
            <w:r w:rsidRPr="00183FCB">
              <w:rPr>
                <w:rFonts w:eastAsiaTheme="minorHAnsi"/>
                <w:spacing w:val="-6"/>
                <w:lang w:val="pt-BR"/>
              </w:rPr>
              <w:t>Giải pháp toàn diện nhất để thực hiện chủ trương, chính sách ““lương của nhà giáo được xếp cao nhất trong hệ thống thang bậc lương hành chính sự nghiệp” là Chính phủ cần ban hành chính sách tiền lương mới theo tinh thần của Nghị quyết số 27-NQ/TW. Trong đó, đối với bảng lương chuyên môn, nghiệp vụ theo Nghị quyết số 27-NQ/TW, nhà giáo cần phải được xếp vào các thang lương cao nhất. Hoặc, xây dựng 01 bảng lương riêng cho nhà giáo cao hơn bảng lương chuyên môn, nghiệp vụ nói chung. Tuy nhiên, để quy định “lương của nhà giáo được xếp cao nhất trong hệ thống thang bậc lương hành chính sự nghiệp” có hiệu lực thi hành cùng Luật Nhà giáo kể từ ngày 01/01/2026 thì cách thức này chưa thể triển khai được.</w:t>
            </w:r>
          </w:p>
          <w:p w14:paraId="6A205FE1" w14:textId="134EA3BC" w:rsidR="003111FB" w:rsidRPr="00642DF1" w:rsidRDefault="00183FC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Do đó, Bộ GDĐT đề xuất quy định hệ số lương đặc thù để có thể triển khai được ngay khi Luật Nhà giáo có hiệu lực thi hành. </w:t>
            </w:r>
          </w:p>
        </w:tc>
      </w:tr>
      <w:tr w:rsidR="00DD353D" w:rsidRPr="00642DF1" w14:paraId="586B413E" w14:textId="77777777" w:rsidTr="00F5486C">
        <w:trPr>
          <w:jc w:val="center"/>
        </w:trPr>
        <w:tc>
          <w:tcPr>
            <w:tcW w:w="1696" w:type="dxa"/>
          </w:tcPr>
          <w:p w14:paraId="714F62D3" w14:textId="77777777" w:rsidR="00DD353D" w:rsidRPr="00093E6E" w:rsidRDefault="00DD353D" w:rsidP="00642DF1">
            <w:pPr>
              <w:spacing w:after="120"/>
              <w:jc w:val="both"/>
              <w:rPr>
                <w:rFonts w:ascii="Times New Roman" w:hAnsi="Times New Roman" w:cs="Times New Roman"/>
                <w:b/>
                <w:spacing w:val="-8"/>
                <w:sz w:val="24"/>
                <w:szCs w:val="24"/>
              </w:rPr>
            </w:pPr>
          </w:p>
        </w:tc>
        <w:tc>
          <w:tcPr>
            <w:tcW w:w="1560" w:type="dxa"/>
          </w:tcPr>
          <w:p w14:paraId="0D8F3DE1" w14:textId="40A08C15" w:rsidR="00DD353D" w:rsidRPr="00642DF1" w:rsidRDefault="00DD353D"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4B4592B7" w14:textId="2873B968" w:rsidR="00DD353D" w:rsidRPr="00642DF1" w:rsidRDefault="00DD353D" w:rsidP="00642DF1">
            <w:pPr>
              <w:spacing w:after="120"/>
              <w:jc w:val="both"/>
              <w:rPr>
                <w:rFonts w:ascii="Times New Roman" w:hAnsi="Times New Roman" w:cs="Times New Roman"/>
                <w:spacing w:val="-8"/>
                <w:sz w:val="24"/>
                <w:szCs w:val="24"/>
              </w:rPr>
            </w:pPr>
            <w:r w:rsidRPr="00642DF1">
              <w:rPr>
                <w:rFonts w:ascii="Times New Roman" w:eastAsia="Calibri" w:hAnsi="Times New Roman" w:cs="Times New Roman"/>
                <w:spacing w:val="-4"/>
                <w:sz w:val="24"/>
                <w:szCs w:val="24"/>
                <w:lang w:val="nl-NL"/>
              </w:rPr>
              <w:t>Làm rõ cơ sở xây dựng bảng lương</w:t>
            </w:r>
          </w:p>
        </w:tc>
        <w:tc>
          <w:tcPr>
            <w:tcW w:w="5528" w:type="dxa"/>
          </w:tcPr>
          <w:p w14:paraId="7728D2B1" w14:textId="77777777" w:rsidR="00DD353D" w:rsidRDefault="00183FC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471A563D" w14:textId="33A011DA" w:rsidR="00183FCB" w:rsidRPr="00642DF1" w:rsidRDefault="00183FC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đã làm rõ cơ sỏ chính trị, cơ sở pháp lý và cơ sở thực tiễn đối với đề xuất quy định bảng lương áp dụng.</w:t>
            </w:r>
          </w:p>
        </w:tc>
      </w:tr>
      <w:tr w:rsidR="00642DF1" w:rsidRPr="00642DF1" w14:paraId="6F121228" w14:textId="77777777" w:rsidTr="00F5486C">
        <w:trPr>
          <w:jc w:val="center"/>
        </w:trPr>
        <w:tc>
          <w:tcPr>
            <w:tcW w:w="1696" w:type="dxa"/>
          </w:tcPr>
          <w:p w14:paraId="2403EA6B" w14:textId="77777777" w:rsidR="00642DF1" w:rsidRPr="00093E6E" w:rsidRDefault="00642DF1" w:rsidP="00642DF1">
            <w:pPr>
              <w:spacing w:after="120"/>
              <w:jc w:val="both"/>
              <w:rPr>
                <w:rFonts w:ascii="Times New Roman" w:hAnsi="Times New Roman" w:cs="Times New Roman"/>
                <w:b/>
                <w:spacing w:val="-8"/>
                <w:sz w:val="24"/>
                <w:szCs w:val="24"/>
              </w:rPr>
            </w:pPr>
          </w:p>
        </w:tc>
        <w:tc>
          <w:tcPr>
            <w:tcW w:w="1560" w:type="dxa"/>
          </w:tcPr>
          <w:p w14:paraId="4544D294" w14:textId="5157D3FA" w:rsidR="00642DF1" w:rsidRPr="00642DF1" w:rsidRDefault="00642DF1" w:rsidP="00642DF1">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Nội vụ</w:t>
            </w:r>
          </w:p>
        </w:tc>
        <w:tc>
          <w:tcPr>
            <w:tcW w:w="5953" w:type="dxa"/>
          </w:tcPr>
          <w:p w14:paraId="7B899712" w14:textId="77777777" w:rsidR="00642DF1" w:rsidRPr="00642DF1" w:rsidRDefault="00642DF1"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Về nội dung nhà giáo được bổ nhiệm chức danh giáo sư được áp dụng bảng lương chuyên gia cao cấp </w:t>
            </w:r>
          </w:p>
          <w:p w14:paraId="003BCA3E" w14:textId="77777777" w:rsidR="00642DF1" w:rsidRPr="00642DF1" w:rsidRDefault="00642DF1"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 Hiện nay, nhà giáo đang xếp lương ở chức danh giảng viên cao cấp được bổ nhiệm chức danh giáo sư được xếp lên 01 bậc liền kề hoặc được cộng thêm 03 năm tính hưởng phụ cấp thâm niên vượt khung đối với trường hợp đã xếp bậc cuối 2 cùng. Như vậy, việc xếp lương khi bổ nhiệm giáo sư đã được thực hiện cao hơn các ngành nghề khác. </w:t>
            </w:r>
          </w:p>
          <w:p w14:paraId="3C2E3011" w14:textId="77777777" w:rsidR="00642DF1" w:rsidRPr="00642DF1" w:rsidRDefault="00642DF1" w:rsidP="00642DF1">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 Bảng lương chuyên gia cao cấp tại Nghị định 204/2004/NĐ-CP ngày 14/12/2004 của Chính phủ về chế độ tiền lương đối với cán bộ, công chức, viên chức và lực lượng vũ trang chỉ áp dụng đối với các đối tượng là chuyên gia cao cấp theo Quy định số 180-QĐ/TW ngày 11/7/2024 của Ban Bí thư về chuyên gia cao cấp (chuyên gia cao cấp được bổ nhiệm sau khi có chủ trương đồng ý bổ nhiệm nhân sự cụ thể của Ban Bí thư) và Nghị định số 92/2025/NĐ-CP ngày 25/4/2025 của Chính phủ quy định về chế độ, chính sách đối với chuyên gia cao cấp. </w:t>
            </w:r>
          </w:p>
          <w:p w14:paraId="7C4F4B15" w14:textId="10CA4E65" w:rsidR="00642DF1" w:rsidRPr="00642DF1" w:rsidRDefault="00642DF1" w:rsidP="00642DF1">
            <w:pPr>
              <w:spacing w:after="120"/>
              <w:jc w:val="both"/>
              <w:rPr>
                <w:rFonts w:ascii="Times New Roman" w:eastAsia="Calibri" w:hAnsi="Times New Roman" w:cs="Times New Roman"/>
                <w:spacing w:val="-4"/>
                <w:sz w:val="24"/>
                <w:szCs w:val="24"/>
                <w:lang w:val="nl-NL"/>
              </w:rPr>
            </w:pPr>
            <w:r w:rsidRPr="00642DF1">
              <w:rPr>
                <w:rFonts w:ascii="Times New Roman" w:hAnsi="Times New Roman" w:cs="Times New Roman"/>
                <w:sz w:val="24"/>
                <w:szCs w:val="24"/>
              </w:rPr>
              <w:t xml:space="preserve">Vì vậy, đối với đề xuất nhà giáo được bổ nhiệm chức danh giáo sư được áp dụng bảng lương chuyên gia cao cấp, đề nghị Bộ Giáo dục và Đào tạo báo cáo Ban Bí thư theo đúng Quy định số 180-QĐ/TW. </w:t>
            </w:r>
          </w:p>
        </w:tc>
        <w:tc>
          <w:tcPr>
            <w:tcW w:w="5528" w:type="dxa"/>
          </w:tcPr>
          <w:p w14:paraId="58C395CC" w14:textId="77777777" w:rsidR="00642DF1" w:rsidRDefault="00183FC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0900643C" w14:textId="79D9CF3E" w:rsidR="00183FCB" w:rsidRPr="00642DF1" w:rsidRDefault="00183FCB" w:rsidP="00642DF1">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sẽ trình xin ý kiến Chính phủ về bảng lương áp dụng đối với giáo sư trước khi báo cáo các cấp có thẩm quyền.</w:t>
            </w:r>
          </w:p>
        </w:tc>
      </w:tr>
      <w:tr w:rsidR="00183FCB" w:rsidRPr="00642DF1" w14:paraId="06D93762" w14:textId="77777777" w:rsidTr="00F5486C">
        <w:trPr>
          <w:jc w:val="center"/>
        </w:trPr>
        <w:tc>
          <w:tcPr>
            <w:tcW w:w="1696" w:type="dxa"/>
          </w:tcPr>
          <w:p w14:paraId="400985DA" w14:textId="7BF156C5" w:rsidR="00183FCB" w:rsidRPr="00093E6E" w:rsidRDefault="00183FCB" w:rsidP="00183FC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4. Hệ số lương đặc thù</w:t>
            </w:r>
          </w:p>
        </w:tc>
        <w:tc>
          <w:tcPr>
            <w:tcW w:w="1560" w:type="dxa"/>
          </w:tcPr>
          <w:p w14:paraId="4860C074" w14:textId="70D6A2AE" w:rsidR="00183FCB" w:rsidRPr="00642DF1" w:rsidRDefault="00183FCB" w:rsidP="00183FC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Quốc phòng</w:t>
            </w:r>
          </w:p>
        </w:tc>
        <w:tc>
          <w:tcPr>
            <w:tcW w:w="5953" w:type="dxa"/>
          </w:tcPr>
          <w:p w14:paraId="752BDB21"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Đề nghị bỏ.</w:t>
            </w:r>
          </w:p>
          <w:p w14:paraId="2E826CD0"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Lý do: Để phù hợp với Nghị quyết 27, Kết luận 83. Trong đó Bộ Chính trị giao: (i) Ban Kinh tế TW chủ trì, phối hợp với Bộ Nội vụ sơ kết Nghị quyết osos 27 trình Trung ương xem xét sau năm 2026. (ii) Ban Cán sự Đảng Chính phủ lãnh đạo, chỉ đạo nghiên cứu và quyết định việc sửa đổi, bổ sung chế độ phụ cấp và chế độ đặc thù của lực lượng vũ trang, chế độ phụ cấp của cán bộ, công chức, viên chức một số chuyên ngành, nhất là phụ cấp theo nghề mà trong quá trình thực hiện có phát sinh bất hợp lý.</w:t>
            </w:r>
          </w:p>
          <w:p w14:paraId="42C40E30" w14:textId="5C9529B9"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Do đó, trước mắt, đề nghị cơ quan soạn thảo không đề xuất sửa đổi, bổ sung hệ số lương đối với nhà giáo đến khi Trung ương xem xét việc thực hiện các nội dung cải cách tiền lương theo Nghị quyết 27 sau năm 2026.</w:t>
            </w:r>
          </w:p>
        </w:tc>
        <w:tc>
          <w:tcPr>
            <w:tcW w:w="5528" w:type="dxa"/>
          </w:tcPr>
          <w:p w14:paraId="1DC63B56" w14:textId="7BF76443" w:rsidR="00183FCB"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58DF14F6" w14:textId="77777777" w:rsidR="00183FCB" w:rsidRPr="00183FCB" w:rsidRDefault="00183FCB" w:rsidP="00183FCB">
            <w:pPr>
              <w:pStyle w:val="NormalWeb"/>
              <w:spacing w:beforeAutospacing="0" w:after="120" w:afterAutospacing="0"/>
              <w:jc w:val="both"/>
              <w:rPr>
                <w:rFonts w:eastAsiaTheme="minorHAnsi"/>
                <w:spacing w:val="-6"/>
                <w:lang w:val="pt-BR"/>
              </w:rPr>
            </w:pPr>
            <w:r w:rsidRPr="00183FCB">
              <w:rPr>
                <w:rFonts w:eastAsiaTheme="minorHAnsi"/>
                <w:spacing w:val="-6"/>
                <w:lang w:val="pt-BR"/>
              </w:rPr>
              <w:t>Giải pháp toàn diện nhất để thực hiện chủ trương, chính sách ““lương của nhà giáo được xếp cao nhất trong hệ thống thang bậc lương hành chính sự nghiệp” là Chính phủ cần ban hành chính sách tiền lương mới theo tinh thần của Nghị quyết số 27-NQ/TW. Trong đó, đối với bảng lương chuyên môn, nghiệp vụ theo Nghị quyết số 27-NQ/TW, nhà giáo cần phải được xếp vào các thang lương cao nhất. Hoặc, xây dựng 01 bảng lương riêng cho nhà giáo cao hơn bảng lương chuyên môn, nghiệp vụ nói chung. Tuy nhiên, để quy định “lương của nhà giáo được xếp cao nhất trong hệ thống thang bậc lương hành chính sự nghiệp” có hiệu lực thi hành cùng Luật Nhà giáo kể từ ngày 01/01/2026 thì cách thức này chưa thể triển khai được.</w:t>
            </w:r>
          </w:p>
          <w:p w14:paraId="76611E6D" w14:textId="1E0EF284" w:rsidR="00183FCB" w:rsidRPr="00642DF1"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Do đó, Bộ GDĐT đề xuất quy định hệ số lương đặc thù để có thể triển khai được ngay khi Luật Nhà giáo có hiệu lực thi hành (ngày 01/01/2025). </w:t>
            </w:r>
          </w:p>
        </w:tc>
      </w:tr>
      <w:tr w:rsidR="00183FCB" w:rsidRPr="00642DF1" w14:paraId="4F716870" w14:textId="77777777" w:rsidTr="00F5486C">
        <w:trPr>
          <w:jc w:val="center"/>
        </w:trPr>
        <w:tc>
          <w:tcPr>
            <w:tcW w:w="1696" w:type="dxa"/>
          </w:tcPr>
          <w:p w14:paraId="1467DF8E" w14:textId="07E7E79F" w:rsidR="00183FCB" w:rsidRPr="00093E6E" w:rsidRDefault="00183FCB" w:rsidP="00183FCB">
            <w:pPr>
              <w:spacing w:after="120"/>
              <w:jc w:val="both"/>
              <w:rPr>
                <w:rFonts w:ascii="Times New Roman" w:hAnsi="Times New Roman" w:cs="Times New Roman"/>
                <w:b/>
                <w:spacing w:val="-8"/>
                <w:sz w:val="24"/>
                <w:szCs w:val="24"/>
              </w:rPr>
            </w:pPr>
          </w:p>
        </w:tc>
        <w:tc>
          <w:tcPr>
            <w:tcW w:w="1560" w:type="dxa"/>
          </w:tcPr>
          <w:p w14:paraId="6FF7F4B1" w14:textId="70A797E9" w:rsidR="00183FCB" w:rsidRPr="00642DF1" w:rsidRDefault="00183FCB" w:rsidP="00183FC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16732DA7" w14:textId="4360EC48"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Việc áp dụng hệ số lương đặc thù từ 1,15 – 1,3 là tiến bộ, nhưng cần có đánh giá tác động tài chính cụ thể, đặc biệt ở địa phương có nhiều giáo viên mầm non, miền núi. Nên quy định rõ: hệ số đặc thù này không dùng để tính phụ cấp bảo hiểm xã hội (hiện mới nói chung chung trong Điều 5)</w:t>
            </w:r>
          </w:p>
        </w:tc>
        <w:tc>
          <w:tcPr>
            <w:tcW w:w="5528" w:type="dxa"/>
          </w:tcPr>
          <w:p w14:paraId="6127B105" w14:textId="77777777" w:rsidR="00183FCB"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2A0CB818" w14:textId="77777777" w:rsidR="00183FCB"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Trong dự thảo Tờ trình Chính phủ gửi Bộ Tài chính cho ý kiến góp ý tại Công văn số 6943/BGDĐT-NGCBQLGD ngày 29/10/2025, Bộ GDĐT đã gửi kèm đánh giá tác động về ngân sách phát sinh cho các chính sách quy định tại dự thảo Nghị định, cùng bảng tính theo số lượng giáo viên ở từng hệ số lương cụ thể. Số liệu này được chiết suất trên cơ sở dữ liệu ngành.</w:t>
            </w:r>
          </w:p>
          <w:p w14:paraId="5BAB232D" w14:textId="44FF3A73" w:rsidR="00183FCB" w:rsidRPr="00642DF1"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Đồng thời, trong thời gian đăng mạng hồ sơ Nghị định, Bộ GDĐT đã đề nghị địa phương đánh giá tác động tổng thể về chi phí phát sinh trả lương, chế độ phụ cấp (bao gồm cả chế độ phụ cấp ưu đãi theo nghề) để có căn cứ gửi Bộ Tài chính nghiên cứu, cân đối nguồn ngân sách thực hiện.</w:t>
            </w:r>
          </w:p>
        </w:tc>
      </w:tr>
      <w:tr w:rsidR="00183FCB" w:rsidRPr="00642DF1" w14:paraId="355EE8FB" w14:textId="77777777" w:rsidTr="00F5486C">
        <w:trPr>
          <w:jc w:val="center"/>
        </w:trPr>
        <w:tc>
          <w:tcPr>
            <w:tcW w:w="1696" w:type="dxa"/>
          </w:tcPr>
          <w:p w14:paraId="22B78A9F" w14:textId="77777777" w:rsidR="00183FCB" w:rsidRPr="00093E6E" w:rsidRDefault="00183FCB" w:rsidP="00183FCB">
            <w:pPr>
              <w:spacing w:after="120"/>
              <w:jc w:val="both"/>
              <w:rPr>
                <w:rFonts w:ascii="Times New Roman" w:hAnsi="Times New Roman" w:cs="Times New Roman"/>
                <w:b/>
                <w:spacing w:val="-8"/>
                <w:sz w:val="24"/>
                <w:szCs w:val="24"/>
              </w:rPr>
            </w:pPr>
          </w:p>
        </w:tc>
        <w:tc>
          <w:tcPr>
            <w:tcW w:w="1560" w:type="dxa"/>
          </w:tcPr>
          <w:p w14:paraId="764DC974" w14:textId="00ECA8DC" w:rsidR="00183FCB" w:rsidRPr="00642DF1" w:rsidRDefault="00183FCB" w:rsidP="00183FC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21366339" w14:textId="2BF6C40A"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Cân nhắc xem xét điều chỉnh hệ số lương đặc thù của nhà giáo giảng dạy tại trường, lớp dành cho người khuyết tật, trung tâm hỗ trợ phát triển giáo dục hòa nhập… từ mức 1,2 lên 1,25 so với hệ số lương hiện hưởng.</w:t>
            </w:r>
          </w:p>
        </w:tc>
        <w:tc>
          <w:tcPr>
            <w:tcW w:w="5528" w:type="dxa"/>
          </w:tcPr>
          <w:p w14:paraId="2FCBE3AD" w14:textId="77777777" w:rsidR="00183FCB"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3E8953C1" w14:textId="35F52292" w:rsidR="00183FCB" w:rsidRPr="00642DF1" w:rsidRDefault="00183FCB"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Nhà giáo </w:t>
            </w:r>
            <w:r w:rsidRPr="00642DF1">
              <w:rPr>
                <w:rFonts w:ascii="Times New Roman" w:hAnsi="Times New Roman" w:cs="Times New Roman"/>
                <w:spacing w:val="-8"/>
                <w:sz w:val="24"/>
                <w:szCs w:val="24"/>
              </w:rPr>
              <w:t>giảng dạy tại trường, lớp dành cho người khuyết tật, trung tâm hỗ trợ phát triển giáo dục hòa nhập</w:t>
            </w:r>
            <w:r>
              <w:rPr>
                <w:rFonts w:ascii="Times New Roman" w:hAnsi="Times New Roman" w:cs="Times New Roman"/>
                <w:spacing w:val="-6"/>
                <w:sz w:val="24"/>
                <w:szCs w:val="24"/>
                <w:lang w:val="pt-BR"/>
              </w:rPr>
              <w:t xml:space="preserve"> </w:t>
            </w:r>
            <w:r w:rsidR="00B06E3E">
              <w:rPr>
                <w:rFonts w:ascii="Times New Roman" w:hAnsi="Times New Roman" w:cs="Times New Roman"/>
                <w:spacing w:val="-6"/>
                <w:sz w:val="24"/>
                <w:szCs w:val="24"/>
                <w:lang w:val="pt-BR"/>
              </w:rPr>
              <w:t>đã được hưởng thêm mức cao hơn 0,05 so với nhà giáo giảng dạy ở cấp học tương ứng.</w:t>
            </w:r>
          </w:p>
        </w:tc>
      </w:tr>
      <w:tr w:rsidR="00183FCB" w:rsidRPr="00642DF1" w14:paraId="3AD7A1C7" w14:textId="77777777" w:rsidTr="00F5486C">
        <w:trPr>
          <w:jc w:val="center"/>
        </w:trPr>
        <w:tc>
          <w:tcPr>
            <w:tcW w:w="1696" w:type="dxa"/>
          </w:tcPr>
          <w:p w14:paraId="7985611C" w14:textId="77777777" w:rsidR="00183FCB" w:rsidRPr="00093E6E" w:rsidRDefault="00183FCB" w:rsidP="00183FCB">
            <w:pPr>
              <w:spacing w:after="120"/>
              <w:jc w:val="both"/>
              <w:rPr>
                <w:rFonts w:ascii="Times New Roman" w:hAnsi="Times New Roman" w:cs="Times New Roman"/>
                <w:b/>
                <w:spacing w:val="-8"/>
                <w:sz w:val="24"/>
                <w:szCs w:val="24"/>
              </w:rPr>
            </w:pPr>
          </w:p>
        </w:tc>
        <w:tc>
          <w:tcPr>
            <w:tcW w:w="1560" w:type="dxa"/>
          </w:tcPr>
          <w:p w14:paraId="0CEB7512" w14:textId="5D1C1BCA" w:rsidR="00183FCB" w:rsidRPr="00642DF1" w:rsidRDefault="00183FCB" w:rsidP="00183FCB">
            <w:pPr>
              <w:spacing w:after="120"/>
              <w:jc w:val="both"/>
              <w:rPr>
                <w:rFonts w:ascii="Times New Roman" w:hAnsi="Times New Roman" w:cs="Times New Roman"/>
                <w:spacing w:val="-6"/>
                <w:sz w:val="24"/>
                <w:szCs w:val="24"/>
                <w:lang w:val="pt-BR"/>
              </w:rPr>
            </w:pPr>
            <w:r w:rsidRPr="00642DF1">
              <w:rPr>
                <w:rFonts w:ascii="Times New Roman" w:hAnsi="Times New Roman" w:cs="Times New Roman"/>
                <w:sz w:val="24"/>
                <w:szCs w:val="24"/>
              </w:rPr>
              <w:t>Học viện Chính trị Quốc gia Hồ Chí Minh</w:t>
            </w:r>
          </w:p>
        </w:tc>
        <w:tc>
          <w:tcPr>
            <w:tcW w:w="5953" w:type="dxa"/>
          </w:tcPr>
          <w:p w14:paraId="193A8C94"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Đề nghị bổ sung quy định về hệ số lương đối với nhà giáo thuộc trường Đảng được hưởng hệ số lương đặc thù là 1.2 so với mức lương hiện hưởng, cộng với phụ cấp thâm niên vượt khung (nếu có)</w:t>
            </w:r>
          </w:p>
          <w:p w14:paraId="3EC9E8F4"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Cơ sở của đề xuất này xuất phát từ chức năng, nhiệm vụ của hệ thống trường Đảng là đào tạo cán bộ lãnh đạo, quản lý chung cao cấp cho đảng, nhà nước, bồi dưỡng cán bộ theo chức danh, vị trí việc làm - là “công việc gốc” của đảng. Đối tượng người học tại các trường đảng có đặc thù là cán bộ lãnh đạo, quản lý, có trình độ chuyên môn cao, dày dặn kinh nghiệm thực tiễn. Với vị trí, vai trò quan trọng của Học viện là và các trường chính trị trong công tác xây dựng đội ngũ cán bộ cho Đảng và Nhà nước, Ban Bí thư và Chính phủ đều đặt ra yêu cầu chuẩn hóa cao đối với đội ngũ giảng viên hệ thống trường Đảng về trình độ chuyên môn, bản lĩnh chính trị, phẩm chất đạo đức, cao nhất trong hệ thống nhà giáo.</w:t>
            </w:r>
          </w:p>
          <w:p w14:paraId="3D6DB532"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Quy định số 11-QĐ/TW ngày 19/5/2021 của Ban Bí thư về trường chính trị chuẩn, yêu cầu Tỉnh ủy, Thành ủy phải xây dựng trường chính trị đạt chuẩn mức một và chuẩn mức hai với sáu tiêu chí: giảng viên phải có trình độ chuyên môn từ thạc sĩ trở lên, có trình độ cao cấp lý luận chính trị, có chứng chỉ bồi dưỡng kiến thức kinh điển Mác - Lênin, tư tưởng Hồ Chí Minh; trên 80% giảng viên chính, trong đó có giảng viên cao cấp, giảng viên có trình độ tiến sĩ.</w:t>
            </w:r>
          </w:p>
          <w:p w14:paraId="2D9B64DA" w14:textId="77777777"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Tại cuộc làm việc của Thủ tướng Chính phủ với cán bộ chủ chốt của học viện ngày 06/01/2024, Thủ tướng yêu cầu Học viện “đẩy mạnh hơn nữa việc triển khai Quyết định số 587/QĐ-TTg của Thủ tướng Chính phủ về nâng cao năng lực đội ngũ cán bộ, công chức, viên chức Học viện Chính trị quốc gia Hồ Chí Minh và các trường chính trị tỉnh, thành phố trực thuộc Trung ương giai đoạn 2019, 2030”.</w:t>
            </w:r>
          </w:p>
          <w:p w14:paraId="3FF6FDCB" w14:textId="5BCF5518"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Tuy nhiên, thực tế hiện nay việc tuyển dụng giảng viên trường của Đảng rất khó khăn do chưa có cơ chế tiền lương, phụ cấp, thu hút, đãi ngộ tương xứng. Trong khi đó, đợt tinh gọn tổ chức bộ máy hệ thống chính trị, sáp nhập một số đơn vị hành chính cấp tỉnh và thực hiện chính quyền địa phương hai cấp vừa qua, số lượng giảng viên trường chính trị xin nghỉ việc khá cao. Nếu không có cơ chế đãi ngộ thỏa đáng, đột phá, sẽ rất khó giữ chân và thu hút người giỏi cho hệ thống trường Đảng.</w:t>
            </w:r>
          </w:p>
        </w:tc>
        <w:tc>
          <w:tcPr>
            <w:tcW w:w="5528" w:type="dxa"/>
          </w:tcPr>
          <w:p w14:paraId="76BB1317" w14:textId="77777777" w:rsidR="00183FCB" w:rsidRPr="00C16F6F" w:rsidRDefault="00C16F6F"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sidRPr="00C16F6F">
              <w:rPr>
                <w:rFonts w:ascii="Times New Roman" w:hAnsi="Times New Roman" w:cs="Times New Roman"/>
                <w:spacing w:val="-6"/>
                <w:sz w:val="24"/>
                <w:szCs w:val="24"/>
                <w:lang w:val="pt-BR"/>
              </w:rPr>
              <w:t>Tiếp thu</w:t>
            </w:r>
          </w:p>
          <w:p w14:paraId="089FE0D7" w14:textId="77777777" w:rsidR="00C16F6F" w:rsidRPr="00C16F6F" w:rsidRDefault="00C16F6F"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sidRPr="00C16F6F">
              <w:rPr>
                <w:rFonts w:ascii="Times New Roman" w:hAnsi="Times New Roman" w:cs="Times New Roman"/>
                <w:spacing w:val="-6"/>
                <w:sz w:val="24"/>
                <w:szCs w:val="24"/>
                <w:lang w:val="pt-BR"/>
              </w:rPr>
              <w:t>Đã điều chỉnh khoản 3 Điều 4 như sau:</w:t>
            </w:r>
          </w:p>
          <w:p w14:paraId="01732ED0" w14:textId="3A7B3B1F" w:rsidR="00C16F6F" w:rsidRPr="00C16F6F" w:rsidRDefault="00C16F6F"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sidRPr="00C16F6F">
              <w:rPr>
                <w:rFonts w:ascii="Times New Roman" w:hAnsi="Times New Roman" w:cs="Times New Roman"/>
                <w:spacing w:val="-6"/>
                <w:sz w:val="24"/>
                <w:szCs w:val="24"/>
                <w:lang w:val="pt-BR"/>
              </w:rPr>
              <w:t>“</w:t>
            </w:r>
            <w:r w:rsidRPr="00C16F6F">
              <w:rPr>
                <w:rFonts w:ascii="Times New Roman" w:hAnsi="Times New Roman" w:cs="Times New Roman"/>
                <w:color w:val="000000"/>
                <w:sz w:val="24"/>
                <w:szCs w:val="24"/>
              </w:rPr>
              <w:t xml:space="preserve">3. Nhà giáo giảng dạy tại trường, lớp dành cho người khuyết tật, trung tâm hỗ trợ phát triển giáo dục hòa nhập, </w:t>
            </w:r>
            <w:r w:rsidRPr="00C16F6F">
              <w:rPr>
                <w:rFonts w:ascii="Times New Roman" w:hAnsi="Times New Roman" w:cs="Times New Roman"/>
                <w:color w:val="EE0000"/>
                <w:sz w:val="24"/>
                <w:szCs w:val="24"/>
              </w:rPr>
              <w:t>trừ trường hợp quy định tại khoản 4 Điều này</w:t>
            </w:r>
            <w:r w:rsidRPr="00C16F6F">
              <w:rPr>
                <w:rFonts w:ascii="Times New Roman" w:hAnsi="Times New Roman" w:cs="Times New Roman"/>
                <w:color w:val="000000"/>
                <w:sz w:val="24"/>
                <w:szCs w:val="24"/>
              </w:rPr>
              <w:t xml:space="preserve">; nhà giáo giảng dạy tại trường phổ thông </w:t>
            </w:r>
            <w:r w:rsidRPr="00C16F6F">
              <w:rPr>
                <w:rFonts w:ascii="Times New Roman" w:hAnsi="Times New Roman" w:cs="Times New Roman"/>
                <w:strike/>
                <w:color w:val="EE0000"/>
                <w:sz w:val="24"/>
                <w:szCs w:val="24"/>
              </w:rPr>
              <w:t>liên cấp</w:t>
            </w:r>
            <w:r w:rsidRPr="00C16F6F">
              <w:rPr>
                <w:rFonts w:ascii="Times New Roman" w:hAnsi="Times New Roman" w:cs="Times New Roman"/>
                <w:color w:val="EE0000"/>
                <w:sz w:val="24"/>
                <w:szCs w:val="24"/>
              </w:rPr>
              <w:t xml:space="preserve"> </w:t>
            </w:r>
            <w:r w:rsidRPr="00C16F6F">
              <w:rPr>
                <w:rFonts w:ascii="Times New Roman" w:hAnsi="Times New Roman" w:cs="Times New Roman"/>
                <w:color w:val="000000"/>
                <w:sz w:val="24"/>
                <w:szCs w:val="24"/>
              </w:rPr>
              <w:t xml:space="preserve">nội trú </w:t>
            </w:r>
            <w:r w:rsidRPr="00C16F6F">
              <w:rPr>
                <w:rFonts w:ascii="Times New Roman" w:hAnsi="Times New Roman" w:cs="Times New Roman"/>
                <w:strike/>
                <w:color w:val="EE0000"/>
                <w:sz w:val="24"/>
                <w:szCs w:val="24"/>
              </w:rPr>
              <w:t>tiểu học, trung học cơ sở</w:t>
            </w:r>
            <w:r w:rsidRPr="00C16F6F">
              <w:rPr>
                <w:rFonts w:ascii="Times New Roman" w:hAnsi="Times New Roman" w:cs="Times New Roman"/>
                <w:color w:val="EE0000"/>
                <w:sz w:val="24"/>
                <w:szCs w:val="24"/>
              </w:rPr>
              <w:t xml:space="preserve"> </w:t>
            </w:r>
            <w:r w:rsidRPr="00C16F6F">
              <w:rPr>
                <w:rFonts w:ascii="Times New Roman" w:hAnsi="Times New Roman" w:cs="Times New Roman"/>
                <w:color w:val="000000"/>
                <w:sz w:val="24"/>
                <w:szCs w:val="24"/>
              </w:rPr>
              <w:t>vùng biên giới đất liền</w:t>
            </w:r>
            <w:r w:rsidRPr="00C16F6F">
              <w:rPr>
                <w:rFonts w:ascii="Times New Roman" w:hAnsi="Times New Roman" w:cs="Times New Roman"/>
                <w:color w:val="EE0000"/>
                <w:sz w:val="24"/>
                <w:szCs w:val="24"/>
              </w:rPr>
              <w:t>; nhà giáo giảng dạy tại Học viện Chính trị quốc gia Hồ Chí Minh và trường chính trị tỉnh, thành phố</w:t>
            </w:r>
            <w:r w:rsidRPr="00C16F6F">
              <w:rPr>
                <w:rFonts w:ascii="Times New Roman" w:hAnsi="Times New Roman" w:cs="Times New Roman"/>
                <w:color w:val="000000"/>
                <w:sz w:val="24"/>
                <w:szCs w:val="24"/>
              </w:rPr>
              <w:t xml:space="preserve"> được hưởng hệ số lương đặc thù mức 1,2 so với hệ số lương hiện hưởng.”</w:t>
            </w:r>
            <w:r w:rsidRPr="00C16F6F">
              <w:rPr>
                <w:rFonts w:ascii="Times New Roman" w:hAnsi="Times New Roman" w:cs="Times New Roman"/>
                <w:spacing w:val="-6"/>
                <w:sz w:val="24"/>
                <w:szCs w:val="24"/>
                <w:lang w:val="pt-BR"/>
              </w:rPr>
              <w:t xml:space="preserve"> </w:t>
            </w:r>
          </w:p>
        </w:tc>
      </w:tr>
      <w:tr w:rsidR="00183FCB" w:rsidRPr="00642DF1" w14:paraId="4A0FB2E7" w14:textId="77777777" w:rsidTr="00F5486C">
        <w:trPr>
          <w:jc w:val="center"/>
        </w:trPr>
        <w:tc>
          <w:tcPr>
            <w:tcW w:w="1696" w:type="dxa"/>
          </w:tcPr>
          <w:p w14:paraId="02C302EE" w14:textId="77777777" w:rsidR="00183FCB" w:rsidRPr="00093E6E" w:rsidRDefault="00183FCB" w:rsidP="00183FCB">
            <w:pPr>
              <w:spacing w:after="120"/>
              <w:jc w:val="both"/>
              <w:rPr>
                <w:rFonts w:ascii="Times New Roman" w:hAnsi="Times New Roman" w:cs="Times New Roman"/>
                <w:b/>
                <w:spacing w:val="-8"/>
                <w:sz w:val="24"/>
                <w:szCs w:val="24"/>
              </w:rPr>
            </w:pPr>
          </w:p>
        </w:tc>
        <w:tc>
          <w:tcPr>
            <w:tcW w:w="1560" w:type="dxa"/>
          </w:tcPr>
          <w:p w14:paraId="0E54208F" w14:textId="39444A9F" w:rsidR="00183FCB" w:rsidRPr="00642DF1" w:rsidRDefault="00183FCB" w:rsidP="00183FCB">
            <w:pPr>
              <w:spacing w:after="120"/>
              <w:jc w:val="both"/>
              <w:rPr>
                <w:rFonts w:ascii="Times New Roman" w:hAnsi="Times New Roman" w:cs="Times New Roman"/>
                <w:sz w:val="24"/>
                <w:szCs w:val="24"/>
              </w:rPr>
            </w:pPr>
            <w:r w:rsidRPr="00642DF1">
              <w:rPr>
                <w:rFonts w:ascii="Times New Roman" w:hAnsi="Times New Roman" w:cs="Times New Roman"/>
                <w:sz w:val="24"/>
                <w:szCs w:val="24"/>
              </w:rPr>
              <w:t>Bộ Tư pháp</w:t>
            </w:r>
          </w:p>
        </w:tc>
        <w:tc>
          <w:tcPr>
            <w:tcW w:w="5953" w:type="dxa"/>
          </w:tcPr>
          <w:p w14:paraId="4C71B4FD" w14:textId="641FE1C2" w:rsidR="00183FCB" w:rsidRPr="00642DF1" w:rsidRDefault="00183FCB" w:rsidP="00183FC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rPr>
              <w:t>Điều 4 dự thảo Nghị định quy định về hệ số lương đặc thù đối với nhà giáo. Bảng lương của cán bộ, công chức, viên chức và lực lượng vũ trang đang được quy định và áp dụng thống nhất theo quy định tại Nghị định số 204/2004/NĐ-CP ngày 14/12/2004 của Chính phủ về chế độ tiền lương đối với cán bộ, công chức, viên chức và lực lượng vũ trang (được sửa đổi, bổ sung bởi các Nghị định của Chính phủ: Nghị định số 76/2009/NĐ-CP ngày 15/9/2009; Nghị định số 14/2012/NĐ-CP ngày 07/3/2012; Nghị định số 17/2013/NĐ CP ngày 19/02/2013; Nghị định số 117/2016/NĐ-CP ngày 21/7/2016). Hiện nay, Bộ Nội vụ đang chủ trì xây dựng, trình Chính phủ sửa đổi, bổ sung một số điều của Nghị định số 204/2004/NĐ-CP. Do đó, để bảo đảm tính thống nhất trong hệ thống pháp luật và trong việc thực hiện chính sách tiền lương, cơ quan chủ trì soạn thảo cần phối hợp với Bộ Nội vụ và đề xuất sửa đổi nội dung này tại Nghị định số 204/2004/NĐ-CP (nếu cần thiết).</w:t>
            </w:r>
          </w:p>
        </w:tc>
        <w:tc>
          <w:tcPr>
            <w:tcW w:w="5528" w:type="dxa"/>
          </w:tcPr>
          <w:p w14:paraId="413930BE" w14:textId="463D3FF3" w:rsidR="00FB5964" w:rsidRPr="00642DF1" w:rsidRDefault="00FB5964" w:rsidP="00183FC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tc>
      </w:tr>
      <w:tr w:rsidR="00183FCB" w:rsidRPr="00642DF1" w14:paraId="52376EF9" w14:textId="77777777" w:rsidTr="00F5486C">
        <w:trPr>
          <w:jc w:val="center"/>
        </w:trPr>
        <w:tc>
          <w:tcPr>
            <w:tcW w:w="1696" w:type="dxa"/>
          </w:tcPr>
          <w:p w14:paraId="74B79D97" w14:textId="77777777" w:rsidR="00183FCB" w:rsidRPr="00093E6E" w:rsidRDefault="00183FCB" w:rsidP="00183FCB">
            <w:pPr>
              <w:spacing w:after="120"/>
              <w:jc w:val="both"/>
              <w:rPr>
                <w:rFonts w:ascii="Times New Roman" w:hAnsi="Times New Roman" w:cs="Times New Roman"/>
                <w:b/>
                <w:spacing w:val="-8"/>
                <w:sz w:val="24"/>
                <w:szCs w:val="24"/>
              </w:rPr>
            </w:pPr>
          </w:p>
        </w:tc>
        <w:tc>
          <w:tcPr>
            <w:tcW w:w="1560" w:type="dxa"/>
          </w:tcPr>
          <w:p w14:paraId="4325A9C2" w14:textId="1E54EE44" w:rsidR="00183FCB" w:rsidRPr="00642DF1" w:rsidRDefault="00183FCB" w:rsidP="00183FCB">
            <w:pPr>
              <w:spacing w:after="120"/>
              <w:jc w:val="both"/>
              <w:rPr>
                <w:rFonts w:ascii="Times New Roman" w:hAnsi="Times New Roman" w:cs="Times New Roman"/>
                <w:sz w:val="24"/>
                <w:szCs w:val="24"/>
              </w:rPr>
            </w:pPr>
            <w:r w:rsidRPr="00642DF1">
              <w:rPr>
                <w:rFonts w:ascii="Times New Roman" w:hAnsi="Times New Roman" w:cs="Times New Roman"/>
                <w:sz w:val="24"/>
                <w:szCs w:val="24"/>
              </w:rPr>
              <w:t>Bộ Tư pháp</w:t>
            </w:r>
          </w:p>
        </w:tc>
        <w:tc>
          <w:tcPr>
            <w:tcW w:w="5953" w:type="dxa"/>
          </w:tcPr>
          <w:p w14:paraId="16EE53B7" w14:textId="6D7368A3" w:rsidR="00183FCB" w:rsidRPr="00642DF1" w:rsidRDefault="00183FCB" w:rsidP="00183FCB">
            <w:pPr>
              <w:spacing w:after="120"/>
              <w:jc w:val="both"/>
              <w:rPr>
                <w:rFonts w:ascii="Times New Roman" w:hAnsi="Times New Roman" w:cs="Times New Roman"/>
                <w:sz w:val="24"/>
                <w:szCs w:val="24"/>
              </w:rPr>
            </w:pPr>
            <w:r w:rsidRPr="00642DF1">
              <w:rPr>
                <w:rFonts w:ascii="Times New Roman" w:hAnsi="Times New Roman" w:cs="Times New Roman"/>
                <w:sz w:val="24"/>
                <w:szCs w:val="24"/>
              </w:rPr>
              <w:t>Hiện nay, Bộ Giáo dục và Đào tạo cũng đang chủ trì xây dựng Nghị định quy định về mức phụ cấp ưu đãi theo nghề đối với viên chức, người lao động trong cơ sở giáo dục công lập, trong đó bổ sung và nâng mức phụ cấp ưu đãi theo nghề đối với nhà giáo. Tại dự thảo Nghị định, cơ quan chủ trì soạn thảo quy định về (i) hệ số lương đặc thù; (ii) bổ sung đối tượng hưởng các loại phụ cấp, tăng mức hưởng phụ cấp so với quy định hiện hành. Việc đề xuất chính sách phụ cấp cho nhà giáo là cần thiết nhưng cần được nghiên cứu, tính toán bảo đảm phù hợp với tính chất đặc thù của ngành, có tính đến tương quan với các đối tượng khác trong hệ thống chính trị.</w:t>
            </w:r>
          </w:p>
        </w:tc>
        <w:tc>
          <w:tcPr>
            <w:tcW w:w="5528" w:type="dxa"/>
          </w:tcPr>
          <w:p w14:paraId="2FFC3018" w14:textId="77777777" w:rsidR="00183FCB" w:rsidRPr="00185E9B" w:rsidRDefault="00FB5964"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185E9B">
              <w:rPr>
                <w:rFonts w:ascii="Times New Roman" w:hAnsi="Times New Roman" w:cs="Times New Roman"/>
                <w:spacing w:val="-6"/>
                <w:sz w:val="24"/>
                <w:szCs w:val="24"/>
                <w:lang w:val="pt-BR"/>
              </w:rPr>
              <w:t>Đề nghị bảo lưu</w:t>
            </w:r>
          </w:p>
          <w:p w14:paraId="6A7DBF80" w14:textId="77777777" w:rsidR="00FB5964" w:rsidRPr="00185E9B" w:rsidRDefault="00FB5964"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185E9B">
              <w:rPr>
                <w:rFonts w:ascii="Times New Roman" w:hAnsi="Times New Roman" w:cs="Times New Roman"/>
                <w:spacing w:val="-6"/>
                <w:sz w:val="24"/>
                <w:szCs w:val="24"/>
                <w:lang w:val="pt-BR"/>
              </w:rPr>
              <w:t>Dự thảo Nghị định này chỉ điều chỉnh đối tượng hưởng phụ cấp trách nhiệm công việc và phụ cấp lưu động dành cho một số đối tượng nhà giáo cụ thể (độc lập với chế độ phụ cấp ưu đãi đối với nhà giáo) để khắc phục bất cập trong quá trình sử dụng, quản lý đội ngũ nhà giáo hiện hành.</w:t>
            </w:r>
          </w:p>
          <w:p w14:paraId="21D5DE13" w14:textId="449C5C07" w:rsidR="00185E9B" w:rsidRPr="00185E9B" w:rsidRDefault="00185E9B" w:rsidP="00185E9B">
            <w:pPr>
              <w:spacing w:before="120"/>
              <w:jc w:val="both"/>
              <w:rPr>
                <w:rFonts w:ascii="Times New Roman" w:hAnsi="Times New Roman" w:cs="Times New Roman"/>
                <w:sz w:val="24"/>
                <w:szCs w:val="24"/>
              </w:rPr>
            </w:pPr>
            <w:r w:rsidRPr="00185E9B">
              <w:rPr>
                <w:rFonts w:ascii="Times New Roman" w:hAnsi="Times New Roman" w:cs="Times New Roman"/>
                <w:spacing w:val="-6"/>
                <w:sz w:val="24"/>
                <w:szCs w:val="24"/>
                <w:lang w:val="pt-BR"/>
              </w:rPr>
              <w:t xml:space="preserve">Bên cạnh đó, </w:t>
            </w:r>
            <w:r w:rsidRPr="00185E9B">
              <w:rPr>
                <w:rFonts w:ascii="Times New Roman" w:hAnsi="Times New Roman" w:cs="Times New Roman"/>
                <w:sz w:val="24"/>
                <w:szCs w:val="24"/>
              </w:rPr>
              <w:t>gần 30 năm qua, chủ trương “</w:t>
            </w:r>
            <w:r w:rsidRPr="00185E9B">
              <w:rPr>
                <w:rFonts w:ascii="Times New Roman" w:hAnsi="Times New Roman" w:cs="Times New Roman"/>
                <w:i/>
                <w:sz w:val="24"/>
                <w:szCs w:val="24"/>
              </w:rPr>
              <w:t>lương của nhà giáo được ưu tiên xếp cao nhất trong hệ thống thang bậc lương hành chính sự nghiệp</w:t>
            </w:r>
            <w:r w:rsidRPr="00185E9B">
              <w:rPr>
                <w:rFonts w:ascii="Times New Roman" w:hAnsi="Times New Roman" w:cs="Times New Roman"/>
                <w:sz w:val="24"/>
                <w:szCs w:val="24"/>
              </w:rPr>
              <w:t>” và ngoài lương, nhà giáo “</w:t>
            </w:r>
            <w:r w:rsidRPr="00185E9B">
              <w:rPr>
                <w:rFonts w:ascii="Times New Roman" w:hAnsi="Times New Roman" w:cs="Times New Roman"/>
                <w:b/>
                <w:i/>
                <w:sz w:val="24"/>
                <w:szCs w:val="24"/>
              </w:rPr>
              <w:t>có thêm</w:t>
            </w:r>
            <w:r w:rsidRPr="00185E9B">
              <w:rPr>
                <w:rFonts w:ascii="Times New Roman" w:hAnsi="Times New Roman" w:cs="Times New Roman"/>
                <w:i/>
                <w:sz w:val="24"/>
                <w:szCs w:val="24"/>
              </w:rPr>
              <w:t xml:space="preserve"> phụ cấp tùy theo tính chất công việc, theo vùng</w:t>
            </w:r>
            <w:r w:rsidRPr="00185E9B">
              <w:rPr>
                <w:rFonts w:ascii="Times New Roman" w:hAnsi="Times New Roman" w:cs="Times New Roman"/>
                <w:sz w:val="24"/>
                <w:szCs w:val="24"/>
              </w:rPr>
              <w:t>” luôn được xác định là nhiệm vụ, giải pháp nhất quán trong các Nghị quyết, Kết luận của Đảng. Cụ thể là:</w:t>
            </w:r>
          </w:p>
          <w:p w14:paraId="24B53A79" w14:textId="77777777" w:rsidR="00185E9B" w:rsidRPr="00185E9B" w:rsidRDefault="00185E9B" w:rsidP="00185E9B">
            <w:pPr>
              <w:tabs>
                <w:tab w:val="left" w:pos="993"/>
              </w:tabs>
              <w:spacing w:before="120"/>
              <w:jc w:val="both"/>
              <w:rPr>
                <w:rFonts w:ascii="Times New Roman" w:hAnsi="Times New Roman" w:cs="Times New Roman"/>
                <w:iCs/>
                <w:sz w:val="24"/>
                <w:szCs w:val="24"/>
                <w:shd w:val="clear" w:color="auto" w:fill="FFFFFF"/>
              </w:rPr>
            </w:pPr>
            <w:r w:rsidRPr="00185E9B">
              <w:rPr>
                <w:rFonts w:ascii="Times New Roman" w:hAnsi="Times New Roman" w:cs="Times New Roman"/>
                <w:iCs/>
                <w:sz w:val="24"/>
                <w:szCs w:val="24"/>
                <w:shd w:val="clear" w:color="auto" w:fill="FFFFFF"/>
              </w:rPr>
              <w:t>- Nghị quyết Hội nghị lần thứ hai Ban Chấp hành Trung ương Đảng khóa VIII (năm 1996): “</w:t>
            </w:r>
            <w:r w:rsidRPr="00185E9B">
              <w:rPr>
                <w:rFonts w:ascii="Times New Roman" w:hAnsi="Times New Roman" w:cs="Times New Roman"/>
                <w:b/>
                <w:i/>
                <w:sz w:val="24"/>
                <w:szCs w:val="24"/>
                <w:shd w:val="clear" w:color="auto" w:fill="FFFFFF"/>
              </w:rPr>
              <w:t>Lương</w:t>
            </w:r>
            <w:r w:rsidRPr="00185E9B">
              <w:rPr>
                <w:rFonts w:ascii="Times New Roman" w:hAnsi="Times New Roman" w:cs="Times New Roman"/>
                <w:i/>
                <w:sz w:val="24"/>
                <w:szCs w:val="24"/>
                <w:shd w:val="clear" w:color="auto" w:fill="FFFFFF"/>
              </w:rPr>
              <w:t xml:space="preserve"> giáo viên được xếp cao nhất trong hệ thống thang bậc lương hành chính sự nghiệp </w:t>
            </w:r>
            <w:r w:rsidRPr="00185E9B">
              <w:rPr>
                <w:rFonts w:ascii="Times New Roman" w:hAnsi="Times New Roman" w:cs="Times New Roman"/>
                <w:i/>
                <w:sz w:val="24"/>
                <w:szCs w:val="24"/>
                <w:u w:val="single"/>
                <w:shd w:val="clear" w:color="auto" w:fill="FFFFFF"/>
              </w:rPr>
              <w:t>và có thêm</w:t>
            </w:r>
            <w:r w:rsidRPr="00185E9B">
              <w:rPr>
                <w:rFonts w:ascii="Times New Roman" w:hAnsi="Times New Roman" w:cs="Times New Roman"/>
                <w:i/>
                <w:sz w:val="24"/>
                <w:szCs w:val="24"/>
                <w:shd w:val="clear" w:color="auto" w:fill="FFFFFF"/>
              </w:rPr>
              <w:t xml:space="preserve"> chế độ </w:t>
            </w:r>
            <w:r w:rsidRPr="00185E9B">
              <w:rPr>
                <w:rFonts w:ascii="Times New Roman" w:hAnsi="Times New Roman" w:cs="Times New Roman"/>
                <w:b/>
                <w:i/>
                <w:sz w:val="24"/>
                <w:szCs w:val="24"/>
                <w:shd w:val="clear" w:color="auto" w:fill="FFFFFF"/>
              </w:rPr>
              <w:t>phụ cấp</w:t>
            </w:r>
            <w:r w:rsidRPr="00185E9B">
              <w:rPr>
                <w:rFonts w:ascii="Times New Roman" w:hAnsi="Times New Roman" w:cs="Times New Roman"/>
                <w:i/>
                <w:sz w:val="24"/>
                <w:szCs w:val="24"/>
                <w:shd w:val="clear" w:color="auto" w:fill="FFFFFF"/>
              </w:rPr>
              <w:t xml:space="preserve"> tùy theo tính chất công việc, theo vùng do Chính phủ quy định</w:t>
            </w:r>
            <w:r w:rsidRPr="00185E9B">
              <w:rPr>
                <w:rFonts w:ascii="Times New Roman" w:hAnsi="Times New Roman" w:cs="Times New Roman"/>
                <w:iCs/>
                <w:sz w:val="24"/>
                <w:szCs w:val="24"/>
                <w:shd w:val="clear" w:color="auto" w:fill="FFFFFF"/>
              </w:rPr>
              <w:t>”</w:t>
            </w:r>
          </w:p>
          <w:p w14:paraId="5790F6F1" w14:textId="77777777" w:rsidR="00185E9B" w:rsidRPr="00185E9B" w:rsidRDefault="00185E9B" w:rsidP="00185E9B">
            <w:pPr>
              <w:tabs>
                <w:tab w:val="left" w:pos="993"/>
              </w:tabs>
              <w:spacing w:before="120"/>
              <w:jc w:val="both"/>
              <w:rPr>
                <w:rFonts w:ascii="Times New Roman" w:hAnsi="Times New Roman" w:cs="Times New Roman"/>
                <w:iCs/>
                <w:sz w:val="24"/>
                <w:szCs w:val="24"/>
                <w:shd w:val="clear" w:color="auto" w:fill="FFFFFF"/>
              </w:rPr>
            </w:pPr>
            <w:r w:rsidRPr="00185E9B">
              <w:rPr>
                <w:rFonts w:ascii="Times New Roman" w:hAnsi="Times New Roman" w:cs="Times New Roman"/>
                <w:iCs/>
                <w:sz w:val="24"/>
                <w:szCs w:val="24"/>
                <w:shd w:val="clear" w:color="auto" w:fill="FFFFFF"/>
              </w:rPr>
              <w:t>- Nghị quyết số 29-NQ/TW về đổi mới căn bản, toàn diện giáo dục và đào tạo (năm 2013): “</w:t>
            </w:r>
            <w:r w:rsidRPr="00185E9B">
              <w:rPr>
                <w:rFonts w:ascii="Times New Roman" w:hAnsi="Times New Roman" w:cs="Times New Roman"/>
                <w:b/>
                <w:i/>
                <w:sz w:val="24"/>
                <w:szCs w:val="24"/>
                <w:shd w:val="clear" w:color="auto" w:fill="FFFFFF"/>
              </w:rPr>
              <w:t>Lương</w:t>
            </w:r>
            <w:r w:rsidRPr="00185E9B">
              <w:rPr>
                <w:rFonts w:ascii="Times New Roman" w:hAnsi="Times New Roman" w:cs="Times New Roman"/>
                <w:i/>
                <w:sz w:val="24"/>
                <w:szCs w:val="24"/>
                <w:shd w:val="clear" w:color="auto" w:fill="FFFFFF"/>
              </w:rPr>
              <w:t xml:space="preserve"> của nhà giáo được ưu tiên xếp cao nhất trong thang bậc lương hành chính sự nghiệp </w:t>
            </w:r>
            <w:r w:rsidRPr="00185E9B">
              <w:rPr>
                <w:rFonts w:ascii="Times New Roman" w:hAnsi="Times New Roman" w:cs="Times New Roman"/>
                <w:i/>
                <w:sz w:val="24"/>
                <w:szCs w:val="24"/>
                <w:u w:val="single"/>
                <w:shd w:val="clear" w:color="auto" w:fill="FFFFFF"/>
              </w:rPr>
              <w:t>và có thêm</w:t>
            </w:r>
            <w:r w:rsidRPr="00185E9B">
              <w:rPr>
                <w:rFonts w:ascii="Times New Roman" w:hAnsi="Times New Roman" w:cs="Times New Roman"/>
                <w:i/>
                <w:sz w:val="24"/>
                <w:szCs w:val="24"/>
                <w:shd w:val="clear" w:color="auto" w:fill="FFFFFF"/>
              </w:rPr>
              <w:t xml:space="preserve"> </w:t>
            </w:r>
            <w:r w:rsidRPr="00185E9B">
              <w:rPr>
                <w:rFonts w:ascii="Times New Roman" w:hAnsi="Times New Roman" w:cs="Times New Roman"/>
                <w:b/>
                <w:i/>
                <w:sz w:val="24"/>
                <w:szCs w:val="24"/>
                <w:shd w:val="clear" w:color="auto" w:fill="FFFFFF"/>
              </w:rPr>
              <w:t>phụ cấp</w:t>
            </w:r>
            <w:r w:rsidRPr="00185E9B">
              <w:rPr>
                <w:rFonts w:ascii="Times New Roman" w:hAnsi="Times New Roman" w:cs="Times New Roman"/>
                <w:i/>
                <w:sz w:val="24"/>
                <w:szCs w:val="24"/>
                <w:shd w:val="clear" w:color="auto" w:fill="FFFFFF"/>
              </w:rPr>
              <w:t xml:space="preserve"> tùy theo tính chất công việc, theo vùng</w:t>
            </w:r>
            <w:r w:rsidRPr="00185E9B">
              <w:rPr>
                <w:rFonts w:ascii="Times New Roman" w:hAnsi="Times New Roman" w:cs="Times New Roman"/>
                <w:iCs/>
                <w:sz w:val="24"/>
                <w:szCs w:val="24"/>
                <w:shd w:val="clear" w:color="auto" w:fill="FFFFFF"/>
              </w:rPr>
              <w:t>”</w:t>
            </w:r>
          </w:p>
          <w:p w14:paraId="6F5E6439" w14:textId="0F503CE2" w:rsidR="00185E9B" w:rsidRPr="00185E9B" w:rsidRDefault="00185E9B" w:rsidP="00185E9B">
            <w:pPr>
              <w:spacing w:before="120"/>
              <w:jc w:val="both"/>
              <w:rPr>
                <w:rFonts w:ascii="Times New Roman" w:hAnsi="Times New Roman" w:cs="Times New Roman"/>
                <w:iCs/>
                <w:sz w:val="24"/>
                <w:szCs w:val="24"/>
                <w:shd w:val="clear" w:color="auto" w:fill="FFFFFF"/>
              </w:rPr>
            </w:pPr>
            <w:r w:rsidRPr="00185E9B">
              <w:rPr>
                <w:rFonts w:ascii="Times New Roman" w:hAnsi="Times New Roman" w:cs="Times New Roman"/>
                <w:iCs/>
                <w:sz w:val="24"/>
                <w:szCs w:val="24"/>
                <w:shd w:val="clear" w:color="auto" w:fill="FFFFFF"/>
              </w:rPr>
              <w:t>- Kết luận số 91-KL/TW về việc tiếp tục thực hiện Nghị quyết số 29-NQ/TW (năm 2024): “</w:t>
            </w:r>
            <w:r w:rsidRPr="00185E9B">
              <w:rPr>
                <w:rFonts w:ascii="Times New Roman" w:hAnsi="Times New Roman" w:cs="Times New Roman"/>
                <w:i/>
                <w:sz w:val="24"/>
                <w:szCs w:val="24"/>
                <w:shd w:val="clear" w:color="auto" w:fill="FFFFFF"/>
              </w:rPr>
              <w:t xml:space="preserve">Thực hiện chủ trương </w:t>
            </w:r>
            <w:r w:rsidRPr="00185E9B">
              <w:rPr>
                <w:rFonts w:ascii="Times New Roman" w:hAnsi="Times New Roman" w:cs="Times New Roman"/>
                <w:b/>
                <w:i/>
                <w:sz w:val="24"/>
                <w:szCs w:val="24"/>
                <w:shd w:val="clear" w:color="auto" w:fill="FFFFFF"/>
              </w:rPr>
              <w:t>lương</w:t>
            </w:r>
            <w:r w:rsidRPr="00185E9B">
              <w:rPr>
                <w:rFonts w:ascii="Times New Roman" w:hAnsi="Times New Roman" w:cs="Times New Roman"/>
                <w:i/>
                <w:sz w:val="24"/>
                <w:szCs w:val="24"/>
                <w:shd w:val="clear" w:color="auto" w:fill="FFFFFF"/>
              </w:rPr>
              <w:t xml:space="preserve"> của nhà giáo được ưu tiên xếp cao nhất trong thang bậc lương hành chính sự nghiệp </w:t>
            </w:r>
            <w:r w:rsidRPr="00185E9B">
              <w:rPr>
                <w:rFonts w:ascii="Times New Roman" w:hAnsi="Times New Roman" w:cs="Times New Roman"/>
                <w:i/>
                <w:sz w:val="24"/>
                <w:szCs w:val="24"/>
                <w:u w:val="single"/>
                <w:shd w:val="clear" w:color="auto" w:fill="FFFFFF"/>
              </w:rPr>
              <w:t>và có thêm</w:t>
            </w:r>
            <w:r w:rsidRPr="00185E9B">
              <w:rPr>
                <w:rFonts w:ascii="Times New Roman" w:hAnsi="Times New Roman" w:cs="Times New Roman"/>
                <w:i/>
                <w:sz w:val="24"/>
                <w:szCs w:val="24"/>
                <w:shd w:val="clear" w:color="auto" w:fill="FFFFFF"/>
              </w:rPr>
              <w:t xml:space="preserve"> </w:t>
            </w:r>
            <w:r w:rsidRPr="00185E9B">
              <w:rPr>
                <w:rFonts w:ascii="Times New Roman" w:hAnsi="Times New Roman" w:cs="Times New Roman"/>
                <w:b/>
                <w:i/>
                <w:sz w:val="24"/>
                <w:szCs w:val="24"/>
                <w:shd w:val="clear" w:color="auto" w:fill="FFFFFF"/>
              </w:rPr>
              <w:t>phụ cấp</w:t>
            </w:r>
            <w:r w:rsidRPr="00185E9B">
              <w:rPr>
                <w:rFonts w:ascii="Times New Roman" w:hAnsi="Times New Roman" w:cs="Times New Roman"/>
                <w:i/>
                <w:sz w:val="24"/>
                <w:szCs w:val="24"/>
                <w:shd w:val="clear" w:color="auto" w:fill="FFFFFF"/>
              </w:rPr>
              <w:t xml:space="preserve"> tùy theo tính chất công việc, theo vùng</w:t>
            </w:r>
            <w:r w:rsidRPr="00185E9B">
              <w:rPr>
                <w:rFonts w:ascii="Times New Roman" w:hAnsi="Times New Roman" w:cs="Times New Roman"/>
                <w:iCs/>
                <w:sz w:val="24"/>
                <w:szCs w:val="24"/>
                <w:shd w:val="clear" w:color="auto" w:fill="FFFFFF"/>
              </w:rPr>
              <w:t>”.</w:t>
            </w:r>
          </w:p>
          <w:p w14:paraId="349D3453" w14:textId="77777777" w:rsidR="00185E9B" w:rsidRPr="00185E9B" w:rsidRDefault="00185E9B" w:rsidP="00185E9B">
            <w:pPr>
              <w:pStyle w:val="Normal1"/>
              <w:spacing w:before="120" w:beforeAutospacing="0" w:after="120" w:afterAutospacing="0"/>
              <w:jc w:val="both"/>
            </w:pPr>
            <w:r w:rsidRPr="00185E9B">
              <w:rPr>
                <w:iCs/>
                <w:shd w:val="clear" w:color="auto" w:fill="FFFFFF"/>
              </w:rPr>
              <w:t xml:space="preserve">- Đồng thời, </w:t>
            </w:r>
            <w:r w:rsidRPr="00185E9B">
              <w:t>khoản 1 Điều 23 Luật Nhà giáo như sau:</w:t>
            </w:r>
          </w:p>
          <w:p w14:paraId="0DED17D1" w14:textId="77777777" w:rsidR="00185E9B" w:rsidRPr="00185E9B" w:rsidRDefault="00185E9B" w:rsidP="00185E9B">
            <w:pPr>
              <w:pStyle w:val="NormalWeb"/>
              <w:shd w:val="clear" w:color="auto" w:fill="FFFFFF"/>
              <w:spacing w:before="120" w:beforeAutospacing="0" w:after="120" w:afterAutospacing="0"/>
              <w:jc w:val="both"/>
              <w:rPr>
                <w:i/>
                <w:color w:val="000000"/>
              </w:rPr>
            </w:pPr>
            <w:r w:rsidRPr="00185E9B">
              <w:rPr>
                <w:i/>
                <w:color w:val="000000"/>
              </w:rPr>
              <w:t>“a) Lương của nhà giáo được xếp cao nhất trong hệ thống thang bậc lương hành chính sự nghiệp;</w:t>
            </w:r>
          </w:p>
          <w:p w14:paraId="143C5A5C" w14:textId="5BB76139" w:rsidR="00185E9B" w:rsidRPr="00185E9B" w:rsidRDefault="00185E9B" w:rsidP="00185E9B">
            <w:pPr>
              <w:spacing w:before="120"/>
              <w:jc w:val="both"/>
              <w:rPr>
                <w:rFonts w:ascii="Times New Roman" w:hAnsi="Times New Roman" w:cs="Times New Roman"/>
                <w:iCs/>
                <w:sz w:val="24"/>
                <w:szCs w:val="24"/>
                <w:shd w:val="clear" w:color="auto" w:fill="FFFFFF"/>
              </w:rPr>
            </w:pPr>
            <w:r w:rsidRPr="00185E9B">
              <w:rPr>
                <w:rFonts w:ascii="Times New Roman" w:hAnsi="Times New Roman" w:cs="Times New Roman"/>
                <w:i/>
                <w:color w:val="000000"/>
                <w:sz w:val="24"/>
                <w:szCs w:val="24"/>
              </w:rPr>
              <w:t>b) Phụ cấp ưu đãi nghề và phụ cấp khác theo tính chất công việc, theo vùng theo quy định của pháp luật;</w:t>
            </w:r>
          </w:p>
          <w:p w14:paraId="500E5DF5" w14:textId="793D1F63" w:rsidR="00185E9B" w:rsidRPr="00185E9B" w:rsidRDefault="00185E9B"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185E9B">
              <w:rPr>
                <w:rFonts w:ascii="Times New Roman" w:hAnsi="Times New Roman" w:cs="Times New Roman"/>
                <w:spacing w:val="-6"/>
                <w:sz w:val="24"/>
                <w:szCs w:val="24"/>
                <w:lang w:val="pt-BR"/>
              </w:rPr>
              <w:t>Như vậy, việc Bộ GDĐT đề xuất quy định hệ số lương đặc thù bên cạnh việc điều chỉnh phụ cấp ưu đãi theo nghề là bảo đẳm căn cứ chính trị, căn cứ pháp lý.</w:t>
            </w:r>
          </w:p>
        </w:tc>
      </w:tr>
      <w:tr w:rsidR="00185E9B" w:rsidRPr="00642DF1" w14:paraId="6A4D0C4E" w14:textId="77777777" w:rsidTr="00F5486C">
        <w:trPr>
          <w:jc w:val="center"/>
        </w:trPr>
        <w:tc>
          <w:tcPr>
            <w:tcW w:w="1696" w:type="dxa"/>
          </w:tcPr>
          <w:p w14:paraId="39E0B1B2"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7C0DDC1E" w14:textId="5186B093"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Bộ Tài chính</w:t>
            </w:r>
          </w:p>
        </w:tc>
        <w:tc>
          <w:tcPr>
            <w:tcW w:w="5953" w:type="dxa"/>
          </w:tcPr>
          <w:p w14:paraId="3AC25EAA" w14:textId="3204D8A5" w:rsidR="00185E9B" w:rsidRPr="00642DF1" w:rsidRDefault="00185E9B" w:rsidP="00185E9B">
            <w:pPr>
              <w:spacing w:after="120"/>
              <w:jc w:val="both"/>
              <w:rPr>
                <w:rFonts w:ascii="Times New Roman" w:hAnsi="Times New Roman" w:cs="Times New Roman"/>
                <w:sz w:val="24"/>
                <w:szCs w:val="24"/>
              </w:rPr>
            </w:pPr>
            <w:r w:rsidRPr="00642DF1">
              <w:rPr>
                <w:rFonts w:ascii="Times New Roman" w:eastAsia="Calibri" w:hAnsi="Times New Roman" w:cs="Times New Roman"/>
                <w:spacing w:val="-4"/>
                <w:sz w:val="24"/>
                <w:szCs w:val="24"/>
                <w:lang w:val="nl-NL"/>
              </w:rPr>
              <w:t xml:space="preserve">Làm rõ cơ sở xây dựng các mức hệ số lương đặc thù </w:t>
            </w:r>
          </w:p>
        </w:tc>
        <w:tc>
          <w:tcPr>
            <w:tcW w:w="5528" w:type="dxa"/>
          </w:tcPr>
          <w:p w14:paraId="1F594486" w14:textId="77777777" w:rsidR="00185E9B" w:rsidRDefault="00185E9B"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4DB66BA9" w14:textId="12307833" w:rsidR="00185E9B" w:rsidRPr="00642DF1" w:rsidRDefault="00185E9B"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đã làm rõ cơ sỏ chính trị, cơ sở pháp lý và cơ sở thực tiễn đối với đề xuất quy định hệ số lương đặc thù.</w:t>
            </w:r>
          </w:p>
        </w:tc>
      </w:tr>
      <w:tr w:rsidR="00185E9B" w:rsidRPr="00642DF1" w14:paraId="2B87EC25" w14:textId="77777777" w:rsidTr="00F5486C">
        <w:trPr>
          <w:jc w:val="center"/>
        </w:trPr>
        <w:tc>
          <w:tcPr>
            <w:tcW w:w="1696" w:type="dxa"/>
          </w:tcPr>
          <w:p w14:paraId="79566900"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030723A2" w14:textId="3B7CFD5D"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Bộ Nội vụ</w:t>
            </w:r>
          </w:p>
        </w:tc>
        <w:tc>
          <w:tcPr>
            <w:tcW w:w="5953" w:type="dxa"/>
          </w:tcPr>
          <w:p w14:paraId="43EEB06E" w14:textId="3BA52846" w:rsidR="00185E9B" w:rsidRPr="004D1D50"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 Căn cứ quan điểm, chủ trương của Đảng về cải cách chính sách tiền lương tại các Nghị quyết, Kết luận (nhất là Kết luận số 83-KL/TW ngày 21/6/2024 của Bộ Chính trị về cải cách tiền lương; điều chỉnh lương hưu, trợ cấp bảo hiểm xã hội, trợ cấp ưu đãi người có công và trợ cấp xã hội từ ngày 01/7/2024), quy định của pháp luật hiện hành và ý kiến của Đảng ủy Quốc hội (về sửa đổi, bãi bỏ cơ chế tài chính, thu nhập đặc thù của các cơ quan, đơn vị hành chính nhà nước ở Trung ương) thì việc quy định hệ số lương đặc thù đối với nhà giáo là không có cơ sở chính trị, pháp lý. </w:t>
            </w:r>
          </w:p>
        </w:tc>
        <w:tc>
          <w:tcPr>
            <w:tcW w:w="5528" w:type="dxa"/>
          </w:tcPr>
          <w:p w14:paraId="0B86DDF0" w14:textId="77777777" w:rsidR="00185E9B" w:rsidRPr="004D1D50" w:rsidRDefault="00185E9B"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pacing w:val="-6"/>
                <w:sz w:val="24"/>
                <w:szCs w:val="24"/>
                <w:lang w:val="pt-BR"/>
              </w:rPr>
              <w:t>Đề nghị bảo lưu:</w:t>
            </w:r>
          </w:p>
          <w:p w14:paraId="516C1BF2" w14:textId="6F3FDB76" w:rsidR="00185E9B" w:rsidRPr="004D1D50" w:rsidRDefault="00185E9B"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pacing w:val="-6"/>
                <w:sz w:val="24"/>
                <w:szCs w:val="24"/>
                <w:lang w:val="pt-BR"/>
              </w:rPr>
              <w:t>Việc đề xuất hệ số lương đặc thù có căn cứ chính trị, căn cứ pháp lý</w:t>
            </w:r>
          </w:p>
          <w:p w14:paraId="7FC8F531" w14:textId="77777777" w:rsidR="00185E9B" w:rsidRPr="004D1D50" w:rsidRDefault="00185E9B" w:rsidP="004D1D50">
            <w:pPr>
              <w:pStyle w:val="Normal1"/>
              <w:spacing w:before="120" w:beforeAutospacing="0" w:after="120" w:afterAutospacing="0"/>
              <w:jc w:val="both"/>
            </w:pPr>
            <w:r w:rsidRPr="004D1D50">
              <w:t>29 năm qua, chủ trương “</w:t>
            </w:r>
            <w:r w:rsidRPr="004D1D50">
              <w:rPr>
                <w:i/>
              </w:rPr>
              <w:t>lương của nhà giáo được ưu tiên xếp cao nhất trong hệ thống thang bậc lương hành chính sự nghiệp</w:t>
            </w:r>
            <w:r w:rsidRPr="004D1D50">
              <w:t>” và ngoài lương, nhà giáo “</w:t>
            </w:r>
            <w:r w:rsidRPr="004D1D50">
              <w:rPr>
                <w:i/>
              </w:rPr>
              <w:t>có thêm phụ cấp tùy theo tính chất công việc, theo vùng</w:t>
            </w:r>
            <w:r w:rsidRPr="004D1D50">
              <w:t xml:space="preserve">” luôn được xác định là nhiệm vụ, giải pháp nhất quán trong các Nghị quyết, Kết luận của Đảng. Cụ thể là: Từ Nghị quyết Hội nghị lần thứ hai Ban Chấp hành Trung ương Đảng khóa VIII năm 1996 về định hướng chiến lược phát triển giáo dục - đào tạo trong thời kỳ công nghiệp hoá, hiện đại hoá; đến Nghị quyết số 29-NQ/TW năm 2013 về đổi mới căn bản, toàn diện giáo dục và đào tạo; Kết luận số 91-KL/TW năm 2024 về việc tiếp tục thực hiện Nghị quyết số 29-NQ/TW. </w:t>
            </w:r>
          </w:p>
          <w:p w14:paraId="5B73619E" w14:textId="77777777" w:rsidR="00185E9B" w:rsidRPr="004D1D50" w:rsidRDefault="00185E9B" w:rsidP="004D1D50">
            <w:pPr>
              <w:pStyle w:val="Normal1"/>
              <w:spacing w:before="120" w:beforeAutospacing="0" w:after="120" w:afterAutospacing="0"/>
              <w:jc w:val="both"/>
              <w:rPr>
                <w:color w:val="000000" w:themeColor="text1"/>
              </w:rPr>
            </w:pPr>
            <w:r w:rsidRPr="004D1D50">
              <w:rPr>
                <w:color w:val="000000" w:themeColor="text1"/>
              </w:rPr>
              <w:t>Gần đây nhất, Bộ Chính trị đã ban hành Nghị quyết 71- NQ/TW về đột phá phát triển giáo dục; trong đó nêu rõ: “</w:t>
            </w:r>
            <w:r w:rsidRPr="004D1D50">
              <w:rPr>
                <w:i/>
                <w:iCs/>
                <w:color w:val="000000" w:themeColor="text1"/>
              </w:rPr>
              <w:t>Có chính sách ưu đãi đặc thù, vượt trội cho nhà giáo</w:t>
            </w:r>
            <w:r w:rsidRPr="004D1D50">
              <w:rPr>
                <w:color w:val="000000" w:themeColor="text1"/>
              </w:rPr>
              <w:t xml:space="preserve">”. </w:t>
            </w:r>
          </w:p>
          <w:p w14:paraId="7474DE4F" w14:textId="77777777" w:rsidR="00185E9B" w:rsidRPr="004D1D50" w:rsidRDefault="00185E9B" w:rsidP="004D1D50">
            <w:pPr>
              <w:pStyle w:val="Normal1"/>
              <w:spacing w:before="120" w:beforeAutospacing="0" w:after="120" w:afterAutospacing="0"/>
              <w:jc w:val="both"/>
            </w:pPr>
            <w:r w:rsidRPr="004D1D50">
              <w:rPr>
                <w:color w:val="000000" w:themeColor="text1"/>
              </w:rPr>
              <w:t xml:space="preserve">Những nghị quyết nêu trên là những căn cứ chính trị quan trọng để </w:t>
            </w:r>
            <w:r w:rsidRPr="004D1D50">
              <w:t xml:space="preserve">Quốc hội quy định </w:t>
            </w:r>
            <w:r w:rsidRPr="004D1D50">
              <w:rPr>
                <w:spacing w:val="-2"/>
              </w:rPr>
              <w:t>“</w:t>
            </w:r>
            <w:r w:rsidRPr="004D1D50">
              <w:rPr>
                <w:i/>
                <w:spacing w:val="-2"/>
              </w:rPr>
              <w:t>Lương của nhà giáo được xếp cao nhất trong hệ thống thang bậc lương hành chính sự nghiệp</w:t>
            </w:r>
            <w:r w:rsidRPr="004D1D50">
              <w:rPr>
                <w:spacing w:val="-2"/>
              </w:rPr>
              <w:t>” tại điểm a khoản 1 Điều 23 Luật Nhà giáo và quy định “</w:t>
            </w:r>
            <w:r w:rsidRPr="004D1D50">
              <w:rPr>
                <w:i/>
                <w:lang w:val="vi-VN"/>
              </w:rPr>
              <w:t>Phụ cấp ưu đãi nghề và phụ cấp khác theo tính chất công việc, theo vùng theo quy định của pháp luật</w:t>
            </w:r>
            <w:r w:rsidRPr="004D1D50">
              <w:rPr>
                <w:lang w:val="vi-VN"/>
              </w:rPr>
              <w:t>"</w:t>
            </w:r>
            <w:r w:rsidRPr="004D1D50">
              <w:t xml:space="preserve"> </w:t>
            </w:r>
            <w:r w:rsidRPr="004D1D50">
              <w:rPr>
                <w:spacing w:val="-2"/>
              </w:rPr>
              <w:t>tại điểm b khoản 1 Điều 23 Luật Nhà giáo. Từ đó, xác lập căn cứ pháp lý để Chính phủ cụ thể hóa thành các nội dung tại Nghị định quy định chính sách tiền lương, chế độ phụ cấp đối với nhà giáo theo yêu cầu của Quốc hội.</w:t>
            </w:r>
          </w:p>
          <w:p w14:paraId="36F336BE" w14:textId="6BD24C1B" w:rsidR="004D1D50" w:rsidRPr="004D1D50" w:rsidRDefault="00185E9B" w:rsidP="004D1D50">
            <w:pPr>
              <w:pStyle w:val="Normal1"/>
              <w:spacing w:before="120" w:beforeAutospacing="0" w:after="120" w:afterAutospacing="0"/>
              <w:jc w:val="both"/>
            </w:pPr>
            <w:r w:rsidRPr="004D1D50">
              <w:t>Như vậy, “</w:t>
            </w:r>
            <w:r w:rsidRPr="004D1D50">
              <w:rPr>
                <w:i/>
              </w:rPr>
              <w:t>hệ số lương đặc thù</w:t>
            </w:r>
            <w:r w:rsidRPr="004D1D50">
              <w:t>” là giải pháp chính sách cụ thể để thực hiện “</w:t>
            </w:r>
            <w:r w:rsidRPr="004D1D50">
              <w:rPr>
                <w:i/>
                <w:spacing w:val="-2"/>
              </w:rPr>
              <w:t>Lương của nhà giáo được xếp cao nhất trong hệ thống thang bậc lương hành chính sự nghiệp</w:t>
            </w:r>
            <w:r w:rsidRPr="004D1D50">
              <w:rPr>
                <w:spacing w:val="-2"/>
              </w:rPr>
              <w:t xml:space="preserve">” và </w:t>
            </w:r>
            <w:r w:rsidRPr="004D1D50">
              <w:t>có căn cứ chính trị, căn cứ pháp lý rõ ràng như đã nêu ở trên.</w:t>
            </w:r>
          </w:p>
        </w:tc>
      </w:tr>
      <w:tr w:rsidR="004D1D50" w:rsidRPr="00642DF1" w14:paraId="42C71EC7" w14:textId="77777777" w:rsidTr="00F5486C">
        <w:trPr>
          <w:jc w:val="center"/>
        </w:trPr>
        <w:tc>
          <w:tcPr>
            <w:tcW w:w="1696" w:type="dxa"/>
          </w:tcPr>
          <w:p w14:paraId="55E19C81" w14:textId="77777777" w:rsidR="004D1D50" w:rsidRPr="00093E6E" w:rsidRDefault="004D1D50" w:rsidP="00185E9B">
            <w:pPr>
              <w:spacing w:after="120"/>
              <w:jc w:val="both"/>
              <w:rPr>
                <w:rFonts w:ascii="Times New Roman" w:hAnsi="Times New Roman" w:cs="Times New Roman"/>
                <w:b/>
                <w:spacing w:val="-8"/>
                <w:sz w:val="24"/>
                <w:szCs w:val="24"/>
              </w:rPr>
            </w:pPr>
          </w:p>
        </w:tc>
        <w:tc>
          <w:tcPr>
            <w:tcW w:w="1560" w:type="dxa"/>
          </w:tcPr>
          <w:p w14:paraId="4B3DF766" w14:textId="528E8849" w:rsidR="004D1D50" w:rsidRPr="00642DF1" w:rsidRDefault="004D1D50" w:rsidP="00185E9B">
            <w:pPr>
              <w:spacing w:after="120"/>
              <w:jc w:val="both"/>
              <w:rPr>
                <w:rFonts w:ascii="Times New Roman" w:hAnsi="Times New Roman" w:cs="Times New Roman"/>
                <w:sz w:val="24"/>
                <w:szCs w:val="24"/>
              </w:rPr>
            </w:pPr>
            <w:r>
              <w:rPr>
                <w:rFonts w:ascii="Times New Roman" w:hAnsi="Times New Roman" w:cs="Times New Roman"/>
                <w:sz w:val="24"/>
                <w:szCs w:val="24"/>
              </w:rPr>
              <w:t>Bộ Nội vụ</w:t>
            </w:r>
          </w:p>
        </w:tc>
        <w:tc>
          <w:tcPr>
            <w:tcW w:w="5953" w:type="dxa"/>
          </w:tcPr>
          <w:p w14:paraId="2348EB88" w14:textId="4A06D8AD" w:rsidR="004D1D50" w:rsidRPr="00642DF1" w:rsidRDefault="004D1D50"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 Theo nguyên tắc thiết kế của chế độ tiền lương hiện hành thì viên chức các ngành sự nghiệp áp dụng một bảng lương chung để thuận lợi cho việc xếp lương khi điều động, luân chuyển trong các cơ quan, đơn vị của Nhà nước; chính sách đặc thù ngành nghề được thực hiện bằng chế độ phụ cấp. Hiện nay, nhà giáo áp dụng bảng lương chung và các chế độ phụ cấp lương ban hành kèm theo Nghị định số 204/2004/NĐ-CP, bao gồm phụ cấp thâm niên nghề, phụ cấp ưu đãi nghề nhà giáo từ 25%-70% nên tổng tiền lương và các chế độ phụ cấp lương của nhà giáo cao nhất trong các ngành sự nghiệp hiện nay. Đồng thời, căn cứ Nghị quyết số 71 NQ/TW ngày 22/8/2025 của Bộ Chính trị về đột phá phát triển giáo dục và đào tạo, Đảng ủy Chính phủ đã có Tờ trình Bộ Chính trị về Đề án tiền lương, phụ cấp đối với cán bộ, công chức, viên chức, lực lượng vũ trang sau sắp xếp tổ chức bộ máy, tổ chức chính quyền địa phương 2 cấp, trong đó đề nghị điều chỉnh phụ cấp ưu đãi đối với giáo viên theo lộ trình. Do đó, tổng tiền lương và các chế độ phụ cấp lương của nhà giáo sẽ tiếp tục được tăng lên trong thời gian tới. </w:t>
            </w:r>
          </w:p>
        </w:tc>
        <w:tc>
          <w:tcPr>
            <w:tcW w:w="5528" w:type="dxa"/>
          </w:tcPr>
          <w:p w14:paraId="6C7868F0" w14:textId="1DC36A93" w:rsidR="004D1D50" w:rsidRP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pacing w:val="-6"/>
                <w:sz w:val="24"/>
                <w:szCs w:val="24"/>
                <w:lang w:val="pt-BR"/>
              </w:rPr>
              <w:t>Đề nghị bảo lưu</w:t>
            </w:r>
          </w:p>
          <w:p w14:paraId="7DBE8637" w14:textId="4ED8C132" w:rsidR="004D1D50" w:rsidRP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pacing w:val="-6"/>
                <w:sz w:val="24"/>
                <w:szCs w:val="24"/>
                <w:lang w:val="pt-BR"/>
              </w:rPr>
              <w:t>Lương của nhà giáo hiện không xếp cao nhất trong hệ thống thang bậc lương hành chính sự nghiệp</w:t>
            </w:r>
          </w:p>
          <w:p w14:paraId="112FE717" w14:textId="77777777" w:rsidR="004D1D50" w:rsidRPr="004D1D50" w:rsidRDefault="004D1D50" w:rsidP="004D1D50">
            <w:pPr>
              <w:pStyle w:val="Normal1"/>
              <w:spacing w:before="120" w:beforeAutospacing="0" w:after="120" w:afterAutospacing="0"/>
              <w:jc w:val="both"/>
            </w:pPr>
            <w:bookmarkStart w:id="3" w:name="_Hlk214006465"/>
            <w:r w:rsidRPr="004D1D50">
              <w:t xml:space="preserve">với cách xếp lương </w:t>
            </w:r>
            <w:bookmarkStart w:id="4" w:name="_Hlk214006440"/>
            <w:r w:rsidRPr="004D1D50">
              <w:t>tại Nghị định số 204/2004/NĐ-CP</w:t>
            </w:r>
            <w:bookmarkEnd w:id="4"/>
            <w:r w:rsidRPr="004D1D50">
              <w:t>, nhìn vào thang lương áp dụng chúng ta thấy ngay sự so sánh về trình độ đào tạo của các chức danh, mức độ phức tạp công việc mà họ đang đảm nhiệm. Kể từ khi Đảng thực sự xác định “giáo dục – đào tạo là quốc sách hàng đầu” và nhà giáo “là nhân tố quyết định chất lượng của giáo dục và được xã hội tôn vinh” (từ Nghị quyết Hội nghị lần thứ hai Ban Chấp hành Trung ương Đảng khóa VIII năm 1996) thì mới có chủ trương phải xếp lương của nhà giáo “cao nhất” trong hệ thống thang bậc lương hành chính sự nghiệp để đúng với vị trí, vai trò của nhà giáo.</w:t>
            </w:r>
            <w:bookmarkEnd w:id="3"/>
          </w:p>
          <w:p w14:paraId="75C1219D" w14:textId="77777777" w:rsidR="004D1D50" w:rsidRPr="004D1D50" w:rsidRDefault="004D1D50" w:rsidP="004D1D50">
            <w:pPr>
              <w:pStyle w:val="Normal1"/>
              <w:spacing w:before="120" w:beforeAutospacing="0" w:after="120" w:afterAutospacing="0"/>
              <w:jc w:val="both"/>
            </w:pPr>
            <w:bookmarkStart w:id="5" w:name="_Hlk214006497"/>
            <w:r w:rsidRPr="004D1D50">
              <w:t>Nhưng việc xếp lương của nhà giáo thực tế không như chủ trương mà Đảng đã xác định 29 năm qua: Lương của nhà giáo hiện CHƯA được xếp cao nhất trong hệ thống thang bậc lương hành chính sự nghiệp, thậm chí đa số nhà giáo đang xếp ở thang lương THẤP HƠN. Cụ thể như sau:</w:t>
            </w:r>
            <w:bookmarkEnd w:id="5"/>
          </w:p>
          <w:p w14:paraId="0D337016" w14:textId="77777777" w:rsidR="004D1D50" w:rsidRPr="004D1D50" w:rsidRDefault="004D1D50" w:rsidP="004D1D50">
            <w:pPr>
              <w:pStyle w:val="Normal1"/>
              <w:spacing w:before="120" w:beforeAutospacing="0" w:after="120" w:afterAutospacing="0"/>
              <w:jc w:val="both"/>
            </w:pPr>
            <w:bookmarkStart w:id="6" w:name="_Hlk214006523"/>
            <w:r w:rsidRPr="004D1D50">
              <w:t>- 12% nhà giáo được xếp lương theo 3 nhóm: A1 – A2.1 – A3.1, nhưng gần như 100% viên chức các ngành, lĩnh vực khác</w:t>
            </w:r>
            <w:r w:rsidRPr="004D1D50">
              <w:rPr>
                <w:rStyle w:val="FootnoteReference"/>
                <w:rFonts w:eastAsiaTheme="majorEastAsia"/>
              </w:rPr>
              <w:footnoteReference w:id="3"/>
            </w:r>
            <w:r w:rsidRPr="004D1D50">
              <w:t xml:space="preserve"> đang xếp lương theo 3 nhóm này</w:t>
            </w:r>
          </w:p>
          <w:p w14:paraId="095FACC6" w14:textId="77777777" w:rsidR="004D1D50" w:rsidRPr="004D1D50" w:rsidRDefault="004D1D50" w:rsidP="004D1D50">
            <w:pPr>
              <w:tabs>
                <w:tab w:val="left" w:leader="dot" w:pos="9072"/>
                <w:tab w:val="center" w:leader="dot" w:pos="14572"/>
              </w:tabs>
              <w:spacing w:after="120"/>
              <w:jc w:val="both"/>
              <w:rPr>
                <w:rFonts w:ascii="Times New Roman" w:hAnsi="Times New Roman" w:cs="Times New Roman"/>
                <w:sz w:val="24"/>
                <w:szCs w:val="24"/>
              </w:rPr>
            </w:pPr>
            <w:bookmarkStart w:id="7" w:name="_Hlk214006567"/>
            <w:bookmarkEnd w:id="6"/>
            <w:r w:rsidRPr="004D1D50">
              <w:rPr>
                <w:rFonts w:ascii="Times New Roman" w:hAnsi="Times New Roman" w:cs="Times New Roman"/>
                <w:sz w:val="24"/>
                <w:szCs w:val="24"/>
              </w:rPr>
              <w:t>- Chỉ có tối đa 1,17% nhà giáo cao cấp (hạng I) được xếp thang lương cao nhất (gồm A3.1 và A3.2), trong khi ngành khác đều có tối đa 10% viên chức được xếp thang lương A3.1.</w:t>
            </w:r>
            <w:bookmarkEnd w:id="7"/>
          </w:p>
          <w:p w14:paraId="3673E4EC" w14:textId="77777777" w:rsidR="004D1D50" w:rsidRPr="004D1D50" w:rsidRDefault="004D1D50" w:rsidP="004D1D50">
            <w:pPr>
              <w:pStyle w:val="Normal1"/>
              <w:spacing w:before="120" w:beforeAutospacing="0" w:after="120" w:afterAutospacing="0"/>
              <w:jc w:val="both"/>
            </w:pPr>
            <w:r w:rsidRPr="004D1D50">
              <w:t xml:space="preserve">- </w:t>
            </w:r>
            <w:bookmarkStart w:id="8" w:name="_Hlk214006666"/>
            <w:r w:rsidRPr="004D1D50">
              <w:t>88% nhà giáo đang xếp lương THẤP HƠN viên chức các ngành, lĩnh vực khác: 88% nhà giáo này có thể được hưởng hệ số lương cao nhất là 6,78; trong khi viên chức các ngành khác có thể được hưởng hệ số lương cao nhất là 8,0 (cao hơn gấp khoảng 1,18 lần). Trong khi đó, trừ viên chức ngành y tế và khoa học – công nghệ, viên chức các ngành khác chỉ yêu cầu trình độ đào tạo ĐẠI HỌC ở cả 3 hạng.</w:t>
            </w:r>
            <w:bookmarkEnd w:id="8"/>
          </w:p>
          <w:p w14:paraId="17220608" w14:textId="77777777" w:rsidR="004D1D50" w:rsidRPr="004D1D50" w:rsidRDefault="004D1D50" w:rsidP="004D1D50">
            <w:pPr>
              <w:tabs>
                <w:tab w:val="left" w:pos="993"/>
              </w:tabs>
              <w:spacing w:before="120" w:after="120"/>
              <w:jc w:val="both"/>
              <w:rPr>
                <w:rFonts w:ascii="Times New Roman" w:hAnsi="Times New Roman" w:cs="Times New Roman"/>
                <w:sz w:val="24"/>
                <w:szCs w:val="24"/>
              </w:rPr>
            </w:pPr>
            <w:r w:rsidRPr="004D1D50">
              <w:rPr>
                <w:rFonts w:ascii="Times New Roman" w:hAnsi="Times New Roman" w:cs="Times New Roman"/>
                <w:sz w:val="24"/>
                <w:szCs w:val="24"/>
              </w:rPr>
              <w:t xml:space="preserve">- </w:t>
            </w:r>
            <w:bookmarkStart w:id="9" w:name="_Hlk214006683"/>
            <w:r w:rsidRPr="004D1D50">
              <w:rPr>
                <w:rFonts w:ascii="Times New Roman" w:hAnsi="Times New Roman" w:cs="Times New Roman"/>
                <w:sz w:val="24"/>
                <w:szCs w:val="24"/>
              </w:rPr>
              <w:t xml:space="preserve">100% giáo viên </w:t>
            </w:r>
            <w:r w:rsidRPr="004D1D50">
              <w:rPr>
                <w:rFonts w:ascii="Times New Roman" w:hAnsi="Times New Roman" w:cs="Times New Roman"/>
                <w:sz w:val="24"/>
                <w:szCs w:val="24"/>
                <w:u w:val="single"/>
              </w:rPr>
              <w:t>mầm non</w:t>
            </w:r>
            <w:r w:rsidRPr="004D1D50">
              <w:rPr>
                <w:rFonts w:ascii="Times New Roman" w:hAnsi="Times New Roman" w:cs="Times New Roman"/>
                <w:sz w:val="24"/>
                <w:szCs w:val="24"/>
              </w:rPr>
              <w:t xml:space="preserve"> đang xếp lương THẤP NHẤT trong hệ thống thang bậc lương hành chính sự nghiệp, trong đó:</w:t>
            </w:r>
          </w:p>
          <w:p w14:paraId="0F4E21A6" w14:textId="77777777" w:rsidR="004D1D50" w:rsidRPr="004D1D50" w:rsidRDefault="004D1D50" w:rsidP="004D1D50">
            <w:pPr>
              <w:tabs>
                <w:tab w:val="left" w:pos="993"/>
              </w:tabs>
              <w:spacing w:before="120" w:after="120"/>
              <w:jc w:val="both"/>
              <w:rPr>
                <w:rFonts w:ascii="Times New Roman" w:hAnsi="Times New Roman" w:cs="Times New Roman"/>
                <w:sz w:val="24"/>
                <w:szCs w:val="24"/>
              </w:rPr>
            </w:pPr>
            <w:r w:rsidRPr="004D1D50">
              <w:rPr>
                <w:rFonts w:ascii="Times New Roman" w:hAnsi="Times New Roman" w:cs="Times New Roman"/>
                <w:sz w:val="24"/>
                <w:szCs w:val="24"/>
              </w:rPr>
              <w:t xml:space="preserve">+ Hệ số khởi điểm của giáo viên mầm non hạng III là 2,10 trong khi các chức danh hạng III của viên chức ngành khác khác là 2,34 (cao gấp khoảng 1,11 lần); </w:t>
            </w:r>
          </w:p>
          <w:p w14:paraId="436D8E62" w14:textId="77777777" w:rsidR="004D1D50" w:rsidRPr="004D1D50" w:rsidRDefault="004D1D50" w:rsidP="004D1D50">
            <w:pPr>
              <w:tabs>
                <w:tab w:val="left" w:pos="993"/>
              </w:tabs>
              <w:spacing w:before="120" w:after="120"/>
              <w:jc w:val="both"/>
              <w:rPr>
                <w:rFonts w:ascii="Times New Roman" w:hAnsi="Times New Roman" w:cs="Times New Roman"/>
                <w:sz w:val="24"/>
                <w:szCs w:val="24"/>
              </w:rPr>
            </w:pPr>
            <w:r w:rsidRPr="004D1D50">
              <w:rPr>
                <w:rFonts w:ascii="Times New Roman" w:hAnsi="Times New Roman" w:cs="Times New Roman"/>
                <w:sz w:val="24"/>
                <w:szCs w:val="24"/>
              </w:rPr>
              <w:t xml:space="preserve">+ Hệ số khởi điểm của giáo viên mầm non hạng II là 2,34 trong khi các chức danh hạng II của viên chức ngành khác khác là 4,4 (cao gấp khoảng 1,88 lần); </w:t>
            </w:r>
          </w:p>
          <w:p w14:paraId="5CFC1E77" w14:textId="77777777" w:rsidR="004D1D50" w:rsidRPr="004D1D50" w:rsidRDefault="004D1D50" w:rsidP="004D1D50">
            <w:pPr>
              <w:tabs>
                <w:tab w:val="left" w:pos="993"/>
              </w:tabs>
              <w:spacing w:before="120" w:after="120"/>
              <w:jc w:val="both"/>
              <w:rPr>
                <w:rFonts w:ascii="Times New Roman" w:hAnsi="Times New Roman" w:cs="Times New Roman"/>
                <w:sz w:val="24"/>
                <w:szCs w:val="24"/>
              </w:rPr>
            </w:pPr>
            <w:r w:rsidRPr="004D1D50">
              <w:rPr>
                <w:rFonts w:ascii="Times New Roman" w:hAnsi="Times New Roman" w:cs="Times New Roman"/>
                <w:sz w:val="24"/>
                <w:szCs w:val="24"/>
              </w:rPr>
              <w:t xml:space="preserve">+ Hệ số khởi điểm của giáo viên mầm non hạng I là 4,0 trong khi các chức danh hạng I của viên chức ngành khác khác là 6,2 (cao gấp khoảng 1,55 lần); </w:t>
            </w:r>
          </w:p>
          <w:p w14:paraId="3F809454" w14:textId="4F29A567" w:rsidR="004D1D50" w:rsidRP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z w:val="24"/>
                <w:szCs w:val="24"/>
              </w:rPr>
              <w:t>+ Hệ số lương cao nhất mà giáo viên mầm non có thể được hưởng là 6,38, trong khi hệ số lương cao nhất mà viên chức ngành khác có thể được hưởng là 8,0 (cao gấp khoảng 1,25 lần).</w:t>
            </w:r>
            <w:bookmarkEnd w:id="9"/>
          </w:p>
        </w:tc>
      </w:tr>
      <w:tr w:rsidR="004D1D50" w:rsidRPr="00642DF1" w14:paraId="5D1A0F1A" w14:textId="77777777" w:rsidTr="00F5486C">
        <w:trPr>
          <w:jc w:val="center"/>
        </w:trPr>
        <w:tc>
          <w:tcPr>
            <w:tcW w:w="1696" w:type="dxa"/>
          </w:tcPr>
          <w:p w14:paraId="0794876A" w14:textId="77777777" w:rsidR="004D1D50" w:rsidRPr="00093E6E" w:rsidRDefault="004D1D50" w:rsidP="00185E9B">
            <w:pPr>
              <w:spacing w:after="120"/>
              <w:jc w:val="both"/>
              <w:rPr>
                <w:rFonts w:ascii="Times New Roman" w:hAnsi="Times New Roman" w:cs="Times New Roman"/>
                <w:b/>
                <w:spacing w:val="-8"/>
                <w:sz w:val="24"/>
                <w:szCs w:val="24"/>
              </w:rPr>
            </w:pPr>
          </w:p>
        </w:tc>
        <w:tc>
          <w:tcPr>
            <w:tcW w:w="1560" w:type="dxa"/>
          </w:tcPr>
          <w:p w14:paraId="681BA075" w14:textId="41DF1217" w:rsidR="004D1D50" w:rsidRPr="00642DF1" w:rsidRDefault="004D1D50" w:rsidP="00185E9B">
            <w:pPr>
              <w:spacing w:after="120"/>
              <w:jc w:val="both"/>
              <w:rPr>
                <w:rFonts w:ascii="Times New Roman" w:hAnsi="Times New Roman" w:cs="Times New Roman"/>
                <w:sz w:val="24"/>
                <w:szCs w:val="24"/>
              </w:rPr>
            </w:pPr>
            <w:r>
              <w:rPr>
                <w:rFonts w:ascii="Times New Roman" w:hAnsi="Times New Roman" w:cs="Times New Roman"/>
                <w:sz w:val="24"/>
                <w:szCs w:val="24"/>
              </w:rPr>
              <w:t>Bộ Nội vụ</w:t>
            </w:r>
          </w:p>
        </w:tc>
        <w:tc>
          <w:tcPr>
            <w:tcW w:w="5953" w:type="dxa"/>
          </w:tcPr>
          <w:p w14:paraId="06E79621" w14:textId="6E814928" w:rsidR="004D1D50" w:rsidRPr="00642DF1" w:rsidRDefault="004D1D50" w:rsidP="00185E9B">
            <w:pPr>
              <w:spacing w:after="120"/>
              <w:jc w:val="both"/>
              <w:rPr>
                <w:rFonts w:ascii="Times New Roman" w:hAnsi="Times New Roman" w:cs="Times New Roman"/>
                <w:sz w:val="24"/>
                <w:szCs w:val="24"/>
              </w:rPr>
            </w:pPr>
            <w:r>
              <w:rPr>
                <w:rFonts w:ascii="Times New Roman" w:hAnsi="Times New Roman" w:cs="Times New Roman"/>
                <w:sz w:val="24"/>
                <w:szCs w:val="24"/>
              </w:rPr>
              <w:t>Đ</w:t>
            </w:r>
            <w:r w:rsidRPr="00642DF1">
              <w:rPr>
                <w:rFonts w:ascii="Times New Roman" w:hAnsi="Times New Roman" w:cs="Times New Roman"/>
                <w:sz w:val="24"/>
                <w:szCs w:val="24"/>
              </w:rPr>
              <w:t xml:space="preserve">ể không phá vỡ thiết kế hệ thống tiền lương hiện hành và tạo ra bất hợp lý mới về tiền lương, thu nhập khi so sánh tương quan với công 3 chức, viên chức các ngành, nghề khác, đề nghị không quy định hệ số lương đặc thù đối với nhà giáo do yếu tố đặc thù ngành nghề là phụ cấp ưu đãi nghề đã được điều chỉnh tăng lên theo Nghị quyết số 71-NQ/TW. </w:t>
            </w:r>
          </w:p>
        </w:tc>
        <w:tc>
          <w:tcPr>
            <w:tcW w:w="5528" w:type="dxa"/>
          </w:tcPr>
          <w:p w14:paraId="2D07F997" w14:textId="77777777" w:rsid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143F3A92" w14:textId="2108D082" w:rsidR="004D1D50" w:rsidRP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spacing w:val="-6"/>
                <w:sz w:val="24"/>
                <w:szCs w:val="24"/>
                <w:lang w:val="pt-BR"/>
              </w:rPr>
              <w:t>Quy định hệ số lương đặc thù không làm phá vỡ thiết kế hệ thống tiền lương hiện hành. Lý do:</w:t>
            </w:r>
          </w:p>
          <w:p w14:paraId="58B6A3F7" w14:textId="77777777" w:rsidR="004D1D50" w:rsidRPr="004D1D50" w:rsidRDefault="004D1D50" w:rsidP="004D1D50">
            <w:pPr>
              <w:tabs>
                <w:tab w:val="left" w:leader="dot" w:pos="9072"/>
                <w:tab w:val="center" w:leader="dot" w:pos="14572"/>
              </w:tabs>
              <w:spacing w:after="120"/>
              <w:jc w:val="both"/>
              <w:rPr>
                <w:rFonts w:ascii="Times New Roman" w:hAnsi="Times New Roman" w:cs="Times New Roman"/>
                <w:spacing w:val="-6"/>
                <w:sz w:val="24"/>
                <w:szCs w:val="24"/>
                <w:lang w:val="pt-BR"/>
              </w:rPr>
            </w:pPr>
            <w:r w:rsidRPr="004D1D50">
              <w:rPr>
                <w:rFonts w:ascii="Times New Roman" w:hAnsi="Times New Roman" w:cs="Times New Roman"/>
                <w:color w:val="000000"/>
                <w:sz w:val="24"/>
                <w:szCs w:val="24"/>
              </w:rPr>
              <w:t xml:space="preserve">Hệ số lương đặc thù chỉ được sử dụng để tính mức lương (là lương cơ bản tính theo hệ số lương hiện hưởng), KHÔNG dùng để tính mức phụ cấp, KHÔNG dùng để tính mức tiền của hệ số chênh lệch bảo lưu theo Thông tư số 07/2024/TT-BNV ngày 05/7/2024 của Bộ Nội vụ hướng dẫn thực hiện mức lương cơ sở đối với các đối tượng hưởng lương, phụ cấp trong các cơ quan, tổ chức, đơn vị sự nghiệp công lập của Đảng, Nhà nước, Mặt trận Tổ quốc Việt Nam, tổ chức chính trị - xã hội và hội. Đồng thời, KHÔNG sử dụng để chuyển xếp lương khi nâng bậc lương thường xuyên, nâng bậc lương trước thời hạn hoặc chuyển xếp lương khi thăng hạng, chuyển hạng hoặc chuyển xếp lương khi Chính phủ ban hành chính sách tiền lương mới. Việc chuyển xếp lương thực hiện theo hệ số lương mà nhà giáo hiện đang hưởng. </w:t>
            </w:r>
          </w:p>
          <w:p w14:paraId="7D77197F" w14:textId="014EAE3C" w:rsidR="004D1D50" w:rsidRPr="004D1D50" w:rsidRDefault="004D1D50" w:rsidP="004D1D50">
            <w:pPr>
              <w:tabs>
                <w:tab w:val="left" w:leader="dot" w:pos="9072"/>
                <w:tab w:val="center" w:leader="dot" w:pos="14572"/>
              </w:tabs>
              <w:spacing w:after="120"/>
              <w:jc w:val="both"/>
              <w:rPr>
                <w:rFonts w:ascii="Times New Roman" w:hAnsi="Times New Roman" w:cs="Times New Roman"/>
                <w:color w:val="000000"/>
                <w:sz w:val="24"/>
                <w:szCs w:val="24"/>
              </w:rPr>
            </w:pPr>
            <w:r w:rsidRPr="004D1D50">
              <w:rPr>
                <w:rFonts w:ascii="Times New Roman" w:hAnsi="Times New Roman" w:cs="Times New Roman"/>
                <w:color w:val="000000"/>
                <w:sz w:val="24"/>
                <w:szCs w:val="24"/>
              </w:rPr>
              <w:t>Như vậy, ngoài quy định công thức tính mức lương khác so với quy định hiện hành (tính theo hệ số lương đặc thù) thì tất cả các quy định khác liên quan đến chính sách tiền lương, phụ cấp vẫn thực hiện theo quy định của pháp luật.</w:t>
            </w:r>
          </w:p>
        </w:tc>
      </w:tr>
      <w:tr w:rsidR="00185E9B" w:rsidRPr="00642DF1" w14:paraId="425D3386" w14:textId="77777777" w:rsidTr="00F5486C">
        <w:trPr>
          <w:jc w:val="center"/>
        </w:trPr>
        <w:tc>
          <w:tcPr>
            <w:tcW w:w="1696" w:type="dxa"/>
          </w:tcPr>
          <w:p w14:paraId="4809EFDF" w14:textId="1D655648"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5</w:t>
            </w:r>
          </w:p>
        </w:tc>
        <w:tc>
          <w:tcPr>
            <w:tcW w:w="1560" w:type="dxa"/>
          </w:tcPr>
          <w:p w14:paraId="404429D5" w14:textId="24CE34F3"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1205B8D5" w14:textId="6CDC43D8"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Quy định “hệ số lương đặc thù không dùng để tính mức phụ cấp”. Tuy nhiên, nhiều loại phụ cấp quan trọng như phụ cấp ưu đãi nghề, phụ cấp thâm niên được tính dự</w:t>
            </w:r>
            <w:r w:rsidR="004D1D50">
              <w:rPr>
                <w:rFonts w:ascii="Times New Roman" w:hAnsi="Times New Roman" w:cs="Times New Roman"/>
                <w:spacing w:val="-8"/>
                <w:sz w:val="24"/>
                <w:szCs w:val="24"/>
              </w:rPr>
              <w:t>a</w:t>
            </w:r>
            <w:r w:rsidRPr="00642DF1">
              <w:rPr>
                <w:rFonts w:ascii="Times New Roman" w:hAnsi="Times New Roman" w:cs="Times New Roman"/>
                <w:spacing w:val="-8"/>
                <w:sz w:val="24"/>
                <w:szCs w:val="24"/>
              </w:rPr>
              <w:t xml:space="preserve"> trên mức lương hiện hưởng. Việc loại trừ hệ số lương đặc thù khỏi căn cứ tính phụ cấp sẽ làm giảm đáng kể tổng thu nhập tăng thêm, đặc biệt đối với nhà giáo có thâm niên hoặc được hưởng phụ cấp ưu đãi nghề cao, bởi vì khoản tăng thêm sẽ chỉ đến từ lương cơ bản, mà không lan sang các khoản phụ cấp khác. Điều này làm giảm hiệu quả tài chính của chính sách tăng lương.</w:t>
            </w:r>
          </w:p>
        </w:tc>
        <w:tc>
          <w:tcPr>
            <w:tcW w:w="5528" w:type="dxa"/>
          </w:tcPr>
          <w:p w14:paraId="37883457" w14:textId="77777777" w:rsidR="00185E9B" w:rsidRDefault="004D1D50"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00907ECD" w14:textId="56FFA70D" w:rsidR="004D1D50" w:rsidRPr="00642DF1" w:rsidRDefault="004D1D50"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Nếu quy định hệ số lương đặc thù dùng để tính cả các mức phụ cấp sẽ làm gia tăng khoảng cách giữa nhà giáo mới và nhà giáo lâu năm, gia tăng sự bất cập trong việc chi trả tiền lương theo thang – bậc như hiện nay. Đồng thời, chi phí phát sinh để chi trả sẽ rất lớn, tạo gánh nặng cho ngân sách nhà nước và nằm ngoài khả năng chi trả.</w:t>
            </w:r>
          </w:p>
        </w:tc>
      </w:tr>
      <w:tr w:rsidR="00185E9B" w:rsidRPr="00642DF1" w14:paraId="6D407114" w14:textId="77777777" w:rsidTr="00F5486C">
        <w:trPr>
          <w:jc w:val="center"/>
        </w:trPr>
        <w:tc>
          <w:tcPr>
            <w:tcW w:w="1696" w:type="dxa"/>
          </w:tcPr>
          <w:p w14:paraId="2F52C611" w14:textId="56FD9ACF"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6</w:t>
            </w:r>
          </w:p>
        </w:tc>
        <w:tc>
          <w:tcPr>
            <w:tcW w:w="1560" w:type="dxa"/>
          </w:tcPr>
          <w:p w14:paraId="15854E9F" w14:textId="49C8724C"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3625F870" w14:textId="029A2E91"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lang w:val="nl-NL"/>
              </w:rPr>
              <w:t>Khoản 3 Điều 6 quy định “</w:t>
            </w:r>
            <w:r w:rsidRPr="00642DF1">
              <w:rPr>
                <w:rFonts w:ascii="Times New Roman" w:hAnsi="Times New Roman" w:cs="Times New Roman"/>
                <w:i/>
                <w:iCs/>
                <w:sz w:val="24"/>
                <w:szCs w:val="24"/>
                <w:lang w:val="nl-NL"/>
              </w:rPr>
              <w:t>Nhà giáo công tác tại ngành, lĩnh vực có chế độ phụ cấp đặc thù thì được hưởng thêm chế độ phụ cấp đặc thù theo quy định của ngành, lĩnh vực đó</w:t>
            </w:r>
            <w:r w:rsidRPr="00642DF1">
              <w:rPr>
                <w:rFonts w:ascii="Times New Roman" w:hAnsi="Times New Roman" w:cs="Times New Roman"/>
                <w:sz w:val="24"/>
                <w:szCs w:val="24"/>
                <w:lang w:val="nl-NL"/>
              </w:rPr>
              <w:t>”. Điều 9 quy định nhà giáo hưởng “</w:t>
            </w:r>
            <w:r w:rsidRPr="00642DF1">
              <w:rPr>
                <w:rFonts w:ascii="Times New Roman" w:hAnsi="Times New Roman" w:cs="Times New Roman"/>
                <w:i/>
                <w:iCs/>
                <w:sz w:val="24"/>
                <w:szCs w:val="24"/>
                <w:lang w:val="nl-NL"/>
              </w:rPr>
              <w:t>Phụ cấp nặng nhọc, độc hại, nguy hiểm</w:t>
            </w:r>
            <w:r w:rsidRPr="00642DF1">
              <w:rPr>
                <w:rFonts w:ascii="Times New Roman" w:hAnsi="Times New Roman" w:cs="Times New Roman"/>
                <w:sz w:val="24"/>
                <w:szCs w:val="24"/>
                <w:lang w:val="nl-NL"/>
              </w:rPr>
              <w:t xml:space="preserve">”. Đề nghị Bộ Giáo dục và Đào tạo rà soát lại các quy định trên đảm bảo thống nhất, không chồng chéo giữa các ưu đãi. </w:t>
            </w:r>
          </w:p>
        </w:tc>
        <w:tc>
          <w:tcPr>
            <w:tcW w:w="5528" w:type="dxa"/>
          </w:tcPr>
          <w:p w14:paraId="3397B3AD" w14:textId="77777777" w:rsidR="00185E9B" w:rsidRPr="00652F27" w:rsidRDefault="00652F27"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652F27">
              <w:rPr>
                <w:rFonts w:ascii="Times New Roman" w:hAnsi="Times New Roman" w:cs="Times New Roman"/>
                <w:spacing w:val="-6"/>
                <w:sz w:val="24"/>
                <w:szCs w:val="24"/>
                <w:lang w:val="pt-BR"/>
              </w:rPr>
              <w:t>Đề nghị bảo lưu</w:t>
            </w:r>
          </w:p>
          <w:p w14:paraId="66ADD67E" w14:textId="6634E4F9" w:rsidR="00652F27" w:rsidRPr="00652F27" w:rsidRDefault="00652F27"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652F27">
              <w:rPr>
                <w:rFonts w:ascii="Times New Roman" w:hAnsi="Times New Roman" w:cs="Times New Roman"/>
                <w:spacing w:val="-6"/>
                <w:sz w:val="24"/>
                <w:szCs w:val="24"/>
                <w:lang w:val="pt-BR"/>
              </w:rPr>
              <w:t>Khoản 3 Điều 6 dự thảo Nghị định quy định nguyên tắc áp dụng chung cho mọi trường hợp, ví dụ nhà giáo dạy môn quốc phòng – an ninh, nhà giáo dạy giáo dục thể chất được hưởng đồng thời các chế độ ưu đãi của lĩnh quốc phòng – an ninh và thể dục thể thao.</w:t>
            </w:r>
            <w:r>
              <w:rPr>
                <w:rFonts w:ascii="Times New Roman" w:hAnsi="Times New Roman" w:cs="Times New Roman"/>
                <w:spacing w:val="-6"/>
                <w:sz w:val="24"/>
                <w:szCs w:val="24"/>
                <w:lang w:val="pt-BR"/>
              </w:rPr>
              <w:t xml:space="preserve"> </w:t>
            </w:r>
          </w:p>
          <w:p w14:paraId="69B8AFE2" w14:textId="189E3215" w:rsidR="00652F27" w:rsidRPr="00652F27" w:rsidRDefault="00652F27"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652F27">
              <w:rPr>
                <w:rFonts w:ascii="Times New Roman" w:hAnsi="Times New Roman" w:cs="Times New Roman"/>
                <w:spacing w:val="-6"/>
                <w:sz w:val="24"/>
                <w:szCs w:val="24"/>
                <w:lang w:val="pt-BR"/>
              </w:rPr>
              <w:t xml:space="preserve">Điều 9 dự thảo Nghị định là quy định cụ thể về phụ cấp nặng nhọc, độc hại, nguy hiểm cho </w:t>
            </w:r>
            <w:bookmarkStart w:id="10" w:name="_Hlk207977739"/>
            <w:r w:rsidRPr="00652F27">
              <w:rPr>
                <w:rFonts w:ascii="Times New Roman" w:hAnsi="Times New Roman" w:cs="Times New Roman"/>
                <w:color w:val="000000"/>
                <w:spacing w:val="-2"/>
                <w:sz w:val="24"/>
                <w:szCs w:val="24"/>
              </w:rPr>
              <w:t>nhà giáo dạy thực hành và nhà giáo vừa dạy lý thuyết vừa dạy thực hành trong một bài học/học phần/mô đun/môn học tại phòng thực hành, xưởng thực hành của cơ sở giáo dục nghề nghiệp công lập hoặc doanh nghiệp, cơ sở sản xuất kinh doanh, dịch vụ với những ngành, nghề học nặng nhọc, độc hại, nguy hiểm</w:t>
            </w:r>
            <w:bookmarkEnd w:id="10"/>
            <w:r w:rsidRPr="00652F27">
              <w:rPr>
                <w:rFonts w:ascii="Times New Roman" w:hAnsi="Times New Roman" w:cs="Times New Roman"/>
                <w:color w:val="000000"/>
                <w:spacing w:val="-2"/>
                <w:sz w:val="24"/>
                <w:szCs w:val="24"/>
              </w:rPr>
              <w:t xml:space="preserve"> được hưởng phụ cấp độc hại, nguy hiểm nếu có một trong các yếu tố nặng nhọc, độc hại, nguy hiểm.</w:t>
            </w:r>
            <w:r>
              <w:rPr>
                <w:rFonts w:ascii="Times New Roman" w:hAnsi="Times New Roman" w:cs="Times New Roman"/>
                <w:color w:val="000000"/>
                <w:spacing w:val="-2"/>
                <w:sz w:val="24"/>
                <w:szCs w:val="24"/>
              </w:rPr>
              <w:t xml:space="preserve"> Đây không phải là chính sách mới mà </w:t>
            </w:r>
            <w:r w:rsidR="00C67224">
              <w:rPr>
                <w:rFonts w:ascii="Times New Roman" w:hAnsi="Times New Roman" w:cs="Times New Roman"/>
                <w:color w:val="000000"/>
                <w:spacing w:val="-2"/>
                <w:sz w:val="24"/>
                <w:szCs w:val="24"/>
              </w:rPr>
              <w:t xml:space="preserve">là các quy định tại Nghị định số </w:t>
            </w:r>
            <w:r w:rsidR="00C67224" w:rsidRPr="00C67224">
              <w:rPr>
                <w:rFonts w:ascii="Times New Roman" w:hAnsi="Times New Roman" w:cs="Times New Roman"/>
                <w:color w:val="000000"/>
                <w:spacing w:val="-2"/>
                <w:sz w:val="24"/>
                <w:szCs w:val="24"/>
              </w:rPr>
              <w:t>113/2015/NĐ-CP ngày 19/11/2015 được đưa sang quy định tại Nghị định này để giảm tải số lượng văn bản quy định, dễ cho các cơ sở giáo dục tra cứu, thực hiện.</w:t>
            </w:r>
          </w:p>
        </w:tc>
      </w:tr>
      <w:tr w:rsidR="00185E9B" w:rsidRPr="00642DF1" w14:paraId="640FEE39" w14:textId="77777777" w:rsidTr="00F5486C">
        <w:trPr>
          <w:jc w:val="center"/>
        </w:trPr>
        <w:tc>
          <w:tcPr>
            <w:tcW w:w="1696" w:type="dxa"/>
          </w:tcPr>
          <w:p w14:paraId="6DB2505E" w14:textId="2194366D"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7</w:t>
            </w:r>
          </w:p>
        </w:tc>
        <w:tc>
          <w:tcPr>
            <w:tcW w:w="1560" w:type="dxa"/>
          </w:tcPr>
          <w:p w14:paraId="6CC20C20" w14:textId="76ED3A4B"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6B5809B4" w14:textId="0E913359"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Ban soạn thảo cần làm rõ hơn về đối tượng “nhà giáo cốt cán”. Tiêu chí, quy trình cử và xác nhận thời gian làm nhiệm vụ nhà giáo cốt cán cần được quy định chi tiết hơn trong văn bản hướng dẫn của Bộ GDĐT để đảm bảo tính minh bạch và thống nhất trong thực hiện.</w:t>
            </w:r>
          </w:p>
        </w:tc>
        <w:tc>
          <w:tcPr>
            <w:tcW w:w="5528" w:type="dxa"/>
          </w:tcPr>
          <w:p w14:paraId="0B9F5B62" w14:textId="77777777" w:rsidR="00185E9B" w:rsidRPr="00CB5E32" w:rsidRDefault="00CB5E32" w:rsidP="00185E9B">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CB5E32">
              <w:rPr>
                <w:rFonts w:ascii="Times New Roman" w:hAnsi="Times New Roman" w:cs="Times New Roman"/>
                <w:color w:val="000000" w:themeColor="text1"/>
                <w:spacing w:val="-6"/>
                <w:sz w:val="24"/>
                <w:szCs w:val="24"/>
                <w:lang w:val="pt-BR"/>
              </w:rPr>
              <w:t>Tiếp thu</w:t>
            </w:r>
          </w:p>
          <w:p w14:paraId="2B7935C1" w14:textId="41969D84" w:rsidR="00CB5E32" w:rsidRPr="00CB5E32" w:rsidRDefault="00CB5E32" w:rsidP="00185E9B">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CB5E32">
              <w:rPr>
                <w:rFonts w:ascii="Times New Roman" w:hAnsi="Times New Roman" w:cs="Times New Roman"/>
                <w:color w:val="000000" w:themeColor="text1"/>
                <w:spacing w:val="-6"/>
                <w:sz w:val="24"/>
                <w:szCs w:val="24"/>
                <w:lang w:val="pt-BR"/>
              </w:rPr>
              <w:t>Đã quy định rõ là “</w:t>
            </w:r>
            <w:r w:rsidRPr="00CB5E32">
              <w:rPr>
                <w:rFonts w:ascii="Times New Roman" w:hAnsi="Times New Roman" w:cs="Times New Roman"/>
                <w:color w:val="000000" w:themeColor="text1"/>
                <w:sz w:val="24"/>
                <w:szCs w:val="24"/>
              </w:rPr>
              <w:t>Giáo viên mầm non, phổ thông được cấp có thẩm quyền xác nhận là giáo viên cốt cán”</w:t>
            </w:r>
            <w:r>
              <w:rPr>
                <w:rFonts w:ascii="Times New Roman" w:hAnsi="Times New Roman" w:cs="Times New Roman"/>
                <w:color w:val="000000" w:themeColor="text1"/>
                <w:sz w:val="24"/>
                <w:szCs w:val="24"/>
              </w:rPr>
              <w:t>. Vì hiện nay, Bộ GDĐT đang quy định giáo viên cốt cán tại các quy định về chuẩn nghề nghiệp giáo viên.</w:t>
            </w:r>
          </w:p>
        </w:tc>
      </w:tr>
      <w:tr w:rsidR="00185E9B" w:rsidRPr="00642DF1" w14:paraId="7F0FD470" w14:textId="77777777" w:rsidTr="00F5486C">
        <w:trPr>
          <w:jc w:val="center"/>
        </w:trPr>
        <w:tc>
          <w:tcPr>
            <w:tcW w:w="1696" w:type="dxa"/>
          </w:tcPr>
          <w:p w14:paraId="3CD709B7"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209C973C" w14:textId="270461EE"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3262A5E6" w14:textId="57D74847"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rPr>
              <w:t xml:space="preserve">Dự thảo Nghị định quy định: “Ngoài các nhà giáo được hưởng phụ cấp trách nhiệm công việc theo quy định của pháp luật, Nghị định này quy định bổ sung một số trường hợp được hưởng phụ cấp trách nhiệm công việc với các mức sau: Mức 0.1 so với mức lương cơ sở áp dụng đối với nhà giáo được giao thực hiện công tác tư vấn học sinh” (điểm a khoản 1 Điều 7). Cơ quan chủ trì soạn thảo chưa làm rõ cơ sở quy định phụ cấp đối với đối tượng này. Trong khi đó, Nghị định số 204/2004/NĐ-CP quy định về phụ cấp trách nhiệm công việc như sau: “Những người làm việc trong tổ chức cơ yếu được hưởng phụ cấp trách nhiệm công việc bảo vệ cơ mật mật mã… Những người làm những công việc đòi hỏi trách nhiệm cao hoặc đảm nhiệm công tác quản lý không thuộc chức danh lãnh đạo (bầu cử, bổ nhiệm) thì được hưởng phụ cấp trách nhiệm công việc” (điểm d khoản 8 Điều 6). </w:t>
            </w:r>
          </w:p>
        </w:tc>
        <w:tc>
          <w:tcPr>
            <w:tcW w:w="5528" w:type="dxa"/>
          </w:tcPr>
          <w:p w14:paraId="0F154CC9" w14:textId="77777777" w:rsidR="00185E9B" w:rsidRPr="00082926" w:rsidRDefault="00CB5E32" w:rsidP="00185E9B">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082926">
              <w:rPr>
                <w:rFonts w:ascii="Times New Roman" w:hAnsi="Times New Roman" w:cs="Times New Roman"/>
                <w:color w:val="000000" w:themeColor="text1"/>
                <w:spacing w:val="-6"/>
                <w:sz w:val="24"/>
                <w:szCs w:val="24"/>
                <w:lang w:val="pt-BR"/>
              </w:rPr>
              <w:t>Tiếp thu và đã bổ sung nội dung giải trình chi tiết tại bảng thuyết minh nội dung quy định</w:t>
            </w:r>
          </w:p>
          <w:p w14:paraId="0D833EE0" w14:textId="38529F35" w:rsidR="00CB5E32" w:rsidRPr="00082926" w:rsidRDefault="00CB5E32" w:rsidP="00082926">
            <w:pPr>
              <w:pStyle w:val="NormalWeb"/>
              <w:shd w:val="clear" w:color="auto" w:fill="FFFFFF"/>
              <w:spacing w:before="120" w:beforeAutospacing="0" w:after="120" w:afterAutospacing="0" w:line="234" w:lineRule="atLeast"/>
              <w:jc w:val="both"/>
              <w:rPr>
                <w:rFonts w:eastAsiaTheme="minorHAnsi"/>
                <w:color w:val="000000" w:themeColor="text1"/>
                <w:spacing w:val="-6"/>
                <w:lang w:val="pt-BR"/>
              </w:rPr>
            </w:pPr>
            <w:r w:rsidRPr="00082926">
              <w:rPr>
                <w:rFonts w:eastAsiaTheme="minorHAnsi"/>
                <w:color w:val="000000" w:themeColor="text1"/>
                <w:spacing w:val="-6"/>
                <w:lang w:val="pt-BR"/>
              </w:rPr>
              <w:t>Hiện tại, phụ cấp trách nhiệm công việc đang thực hiện theo Thông tư số 05/2005/TT-BNV. Liên quan đến giáo dục</w:t>
            </w:r>
            <w:r w:rsidR="00082926" w:rsidRPr="00082926">
              <w:rPr>
                <w:rFonts w:eastAsiaTheme="minorHAnsi"/>
                <w:color w:val="000000" w:themeColor="text1"/>
                <w:spacing w:val="-6"/>
                <w:lang w:val="pt-BR"/>
              </w:rPr>
              <w:t>,</w:t>
            </w:r>
            <w:r w:rsidRPr="00082926">
              <w:rPr>
                <w:rFonts w:eastAsiaTheme="minorHAnsi"/>
                <w:color w:val="000000" w:themeColor="text1"/>
                <w:spacing w:val="-6"/>
                <w:lang w:val="pt-BR"/>
              </w:rPr>
              <w:t xml:space="preserve"> hiện chỉ có </w:t>
            </w:r>
            <w:r w:rsidR="00082926" w:rsidRPr="00082926">
              <w:rPr>
                <w:rFonts w:eastAsiaTheme="minorHAnsi"/>
                <w:color w:val="000000" w:themeColor="text1"/>
                <w:spacing w:val="-6"/>
                <w:lang w:val="pt-BR"/>
              </w:rPr>
              <w:t>giáo viên và cán bộ quản lý giáo dục thuộc biên chế trả lương của các trường chuyên biệt; giáo viên được cử làm Tổng phụ trách (chuyên trách và bán chuyên trách) Đội Thiếu niên tiền phong Hồ Chí Minh.</w:t>
            </w:r>
            <w:r w:rsidR="00082926">
              <w:rPr>
                <w:rFonts w:eastAsiaTheme="minorHAnsi"/>
                <w:color w:val="000000" w:themeColor="text1"/>
                <w:spacing w:val="-6"/>
                <w:lang w:val="pt-BR"/>
              </w:rPr>
              <w:t xml:space="preserve"> Căn cứ vào nhiệm vụ của các giáo viên hiện hành, dự thảo Nghị định đề xuất thêm các trường hợp được giao thực hiện nhiệm vụ đòi hỏi trách nhiệm cao hơn so với giáo viên bình thường.</w:t>
            </w:r>
          </w:p>
        </w:tc>
      </w:tr>
      <w:tr w:rsidR="00185E9B" w:rsidRPr="00642DF1" w14:paraId="24804CBC" w14:textId="77777777" w:rsidTr="00F5486C">
        <w:trPr>
          <w:jc w:val="center"/>
        </w:trPr>
        <w:tc>
          <w:tcPr>
            <w:tcW w:w="1696" w:type="dxa"/>
          </w:tcPr>
          <w:p w14:paraId="62769C84"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7B5F5B33" w14:textId="1A94C23F"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143ABF46" w14:textId="10B147BC"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Điểm c khoản 1 Điều 7 dự thảo Nghị định quy định về phụ cấp trách nhiệm cho “nhà giáo dạy tiếng dân tộc thiểu số”; trong khi đó, Nghị định số 76/2019/NĐ-CP quy định: “Nhà giáo, viên chức quản lý giáo dục dạy tiếng dân tộc thiểu số được hưởng phụ cấp 50% mức lương hiện hưởng (theo bảng lương do cơ quan có thẩm quyền của Đảng và Nhà nước quy định) cộng với phụ cấp chức vụ lãnh đạo, phụ cấp thâm niên vượt khung (nếu có)” (khoản 2 Điều 12). Nội dung này cần được nghiên cứu, tránh trùng lắp chính sách</w:t>
            </w:r>
          </w:p>
        </w:tc>
        <w:tc>
          <w:tcPr>
            <w:tcW w:w="5528" w:type="dxa"/>
          </w:tcPr>
          <w:p w14:paraId="32429896" w14:textId="77777777" w:rsidR="00185E9B" w:rsidRPr="00487414" w:rsidRDefault="00083DEF" w:rsidP="00185E9B">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487414">
              <w:rPr>
                <w:rFonts w:ascii="Times New Roman" w:hAnsi="Times New Roman" w:cs="Times New Roman"/>
                <w:color w:val="000000" w:themeColor="text1"/>
                <w:spacing w:val="-6"/>
                <w:sz w:val="24"/>
                <w:szCs w:val="24"/>
                <w:lang w:val="pt-BR"/>
              </w:rPr>
              <w:t>Đề nghị bảo lưu</w:t>
            </w:r>
          </w:p>
          <w:p w14:paraId="2CC88AC4" w14:textId="420101DF" w:rsidR="00083DEF" w:rsidRPr="00487414" w:rsidRDefault="00083DEF" w:rsidP="00185E9B">
            <w:pPr>
              <w:tabs>
                <w:tab w:val="left" w:leader="dot" w:pos="9072"/>
                <w:tab w:val="center" w:leader="dot" w:pos="14572"/>
              </w:tabs>
              <w:spacing w:after="120"/>
              <w:jc w:val="both"/>
              <w:rPr>
                <w:rFonts w:ascii="Times New Roman" w:hAnsi="Times New Roman" w:cs="Times New Roman"/>
                <w:color w:val="000000" w:themeColor="text1"/>
                <w:spacing w:val="-6"/>
                <w:sz w:val="24"/>
                <w:szCs w:val="24"/>
                <w:lang w:val="pt-BR"/>
              </w:rPr>
            </w:pPr>
            <w:r w:rsidRPr="00487414">
              <w:rPr>
                <w:rFonts w:ascii="Times New Roman" w:hAnsi="Times New Roman" w:cs="Times New Roman"/>
                <w:color w:val="000000" w:themeColor="text1"/>
                <w:spacing w:val="-6"/>
                <w:sz w:val="24"/>
                <w:szCs w:val="24"/>
                <w:lang w:val="pt-BR"/>
              </w:rPr>
              <w:t xml:space="preserve">Dự thảo Nghị định </w:t>
            </w:r>
            <w:r w:rsidR="00487414" w:rsidRPr="00487414">
              <w:rPr>
                <w:rFonts w:ascii="Times New Roman" w:hAnsi="Times New Roman" w:cs="Times New Roman"/>
                <w:color w:val="000000" w:themeColor="text1"/>
                <w:spacing w:val="-6"/>
                <w:sz w:val="24"/>
                <w:szCs w:val="24"/>
                <w:lang w:val="pt-BR"/>
              </w:rPr>
              <w:t>đã quy định tại khoản 2 Điều 7 như sau: “Không áp dụng chế độ phụ cấp trách nhiệm công việc đối với nhà giáo, hiệu trưởng, phó hiệu trưởng và tương đương đã được hưởng phụ cấp trách nhiệm theo quy định tại </w:t>
            </w:r>
            <w:bookmarkStart w:id="11" w:name="dc_3"/>
            <w:r w:rsidR="00487414" w:rsidRPr="00487414">
              <w:rPr>
                <w:rFonts w:ascii="Times New Roman" w:hAnsi="Times New Roman" w:cs="Times New Roman"/>
                <w:color w:val="000000" w:themeColor="text1"/>
                <w:spacing w:val="-6"/>
                <w:sz w:val="24"/>
                <w:szCs w:val="24"/>
                <w:lang w:val="pt-BR"/>
              </w:rPr>
              <w:t>Điều 12 Nghị định số 76/2019/NĐ-CP</w:t>
            </w:r>
            <w:bookmarkEnd w:id="11"/>
            <w:r w:rsidR="00487414" w:rsidRPr="00487414">
              <w:rPr>
                <w:rFonts w:ascii="Times New Roman" w:hAnsi="Times New Roman" w:cs="Times New Roman"/>
                <w:color w:val="000000" w:themeColor="text1"/>
                <w:spacing w:val="-6"/>
                <w:sz w:val="24"/>
                <w:szCs w:val="24"/>
                <w:lang w:val="pt-BR"/>
              </w:rPr>
              <w:t> ngày 08 tháng 10 năm 2019 của Chính phủ về chính sách đối với cán bộ, công chức, viên chức, người lao động và người hưởng lương trong lực lượng vũ trang công tác ở vùng có điều kiện kinh tế - xã hội đặc biệt khó khăn”.</w:t>
            </w:r>
          </w:p>
        </w:tc>
      </w:tr>
      <w:tr w:rsidR="00185E9B" w:rsidRPr="00642DF1" w14:paraId="1A963FC5" w14:textId="77777777" w:rsidTr="00F5486C">
        <w:trPr>
          <w:jc w:val="center"/>
        </w:trPr>
        <w:tc>
          <w:tcPr>
            <w:tcW w:w="1696" w:type="dxa"/>
          </w:tcPr>
          <w:p w14:paraId="59DC9CC7"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7F777414" w14:textId="652E282F"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24AD11C9" w14:textId="7556E262" w:rsidR="00185E9B" w:rsidRPr="00642DF1" w:rsidRDefault="00185E9B" w:rsidP="00185E9B">
            <w:pPr>
              <w:spacing w:after="120"/>
              <w:jc w:val="both"/>
              <w:rPr>
                <w:rFonts w:ascii="Times New Roman" w:hAnsi="Times New Roman" w:cs="Times New Roman"/>
                <w:sz w:val="24"/>
                <w:szCs w:val="24"/>
              </w:rPr>
            </w:pPr>
            <w:r w:rsidRPr="00642DF1">
              <w:rPr>
                <w:rFonts w:ascii="Times New Roman" w:eastAsia="Calibri" w:hAnsi="Times New Roman" w:cs="Times New Roman"/>
                <w:spacing w:val="-4"/>
                <w:sz w:val="24"/>
                <w:szCs w:val="24"/>
                <w:lang w:val="nl-NL"/>
              </w:rPr>
              <w:t>Làm rõ căn cứ pháp lý, thực tiễn đề xuất bổ sung đối tượng hưởng phụ cấp</w:t>
            </w:r>
          </w:p>
        </w:tc>
        <w:tc>
          <w:tcPr>
            <w:tcW w:w="5528" w:type="dxa"/>
          </w:tcPr>
          <w:p w14:paraId="1E9022DD" w14:textId="083071A4" w:rsidR="00185E9B" w:rsidRPr="00642DF1" w:rsidRDefault="00487414"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bổ sung tại bảng thuyết minh</w:t>
            </w:r>
          </w:p>
        </w:tc>
      </w:tr>
      <w:tr w:rsidR="00185E9B" w:rsidRPr="00642DF1" w14:paraId="4A2ECA15" w14:textId="77777777" w:rsidTr="00F5486C">
        <w:trPr>
          <w:jc w:val="center"/>
        </w:trPr>
        <w:tc>
          <w:tcPr>
            <w:tcW w:w="1696" w:type="dxa"/>
          </w:tcPr>
          <w:p w14:paraId="38C41CA7" w14:textId="052D975A"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8</w:t>
            </w:r>
          </w:p>
        </w:tc>
        <w:tc>
          <w:tcPr>
            <w:tcW w:w="1560" w:type="dxa"/>
          </w:tcPr>
          <w:p w14:paraId="568BFABF" w14:textId="50A9A99C"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Quốc phòng</w:t>
            </w:r>
          </w:p>
        </w:tc>
        <w:tc>
          <w:tcPr>
            <w:tcW w:w="5953" w:type="dxa"/>
          </w:tcPr>
          <w:p w14:paraId="531F678C" w14:textId="1ED052C7"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Đề nghị nghiên cứu bổ sung thời gian chi trả, tính đóng hưởng chế độ bảo hiểm xã hội để thống nhất với quy định tại Điều 7, Điều 9</w:t>
            </w:r>
          </w:p>
        </w:tc>
        <w:tc>
          <w:tcPr>
            <w:tcW w:w="5528" w:type="dxa"/>
          </w:tcPr>
          <w:p w14:paraId="36803F68" w14:textId="77777777" w:rsidR="00487414" w:rsidRDefault="00487414"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20495F23" w14:textId="77777777" w:rsidR="00487414" w:rsidRDefault="00487414"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Khoản 2 Điều 8 dự thảo Nghị định đã quy định “</w:t>
            </w:r>
            <w:r w:rsidRPr="008F4E8C">
              <w:rPr>
                <w:rFonts w:ascii="Times New Roman" w:hAnsi="Times New Roman" w:cs="Times New Roman"/>
                <w:i/>
                <w:spacing w:val="-6"/>
                <w:sz w:val="24"/>
                <w:szCs w:val="24"/>
                <w:lang w:val="pt-BR"/>
              </w:rPr>
              <w:t>Cách tính, hưởng phụ cấp lưu động thực hiện theo quy định của pháp luật</w:t>
            </w:r>
            <w:r w:rsidRPr="00487414">
              <w:rPr>
                <w:rFonts w:ascii="Times New Roman" w:hAnsi="Times New Roman" w:cs="Times New Roman"/>
                <w:spacing w:val="-6"/>
                <w:sz w:val="24"/>
                <w:szCs w:val="24"/>
                <w:lang w:val="pt-BR"/>
              </w:rPr>
              <w:t>”.</w:t>
            </w:r>
            <w:r>
              <w:rPr>
                <w:rFonts w:ascii="Times New Roman" w:hAnsi="Times New Roman" w:cs="Times New Roman"/>
                <w:spacing w:val="-6"/>
                <w:sz w:val="24"/>
                <w:szCs w:val="24"/>
                <w:lang w:val="pt-BR"/>
              </w:rPr>
              <w:t xml:space="preserve"> Hiện chế độ phụ cấp lưu động đang thực hiện theo quy định tại Thông tư số 06/2005/TT-BNV</w:t>
            </w:r>
            <w:r w:rsidR="008F4E8C">
              <w:rPr>
                <w:rFonts w:ascii="Times New Roman" w:hAnsi="Times New Roman" w:cs="Times New Roman"/>
                <w:spacing w:val="-6"/>
                <w:sz w:val="24"/>
                <w:szCs w:val="24"/>
                <w:lang w:val="pt-BR"/>
              </w:rPr>
              <w:t>, trong đó đã quy định “</w:t>
            </w:r>
            <w:r w:rsidR="008F4E8C" w:rsidRPr="008F4E8C">
              <w:rPr>
                <w:rFonts w:ascii="Times New Roman" w:hAnsi="Times New Roman" w:cs="Times New Roman"/>
                <w:spacing w:val="-6"/>
                <w:sz w:val="24"/>
                <w:szCs w:val="24"/>
                <w:lang w:val="pt-BR"/>
              </w:rPr>
              <w:t>Phụ cấp lưu động không dùng để tính đóng, hưởng chế độ bảo hiểm xã hội.”</w:t>
            </w:r>
          </w:p>
          <w:p w14:paraId="76D450DB" w14:textId="5E79B59E" w:rsidR="008F4E8C" w:rsidRPr="00642DF1"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Riêng Điều 7 và Điều 9 do có cách thức tính riêng đối với một số trường hợp đặc biệt, nên phải đưa quy định về tính, đóng BHXH vào để rõ ràng.</w:t>
            </w:r>
          </w:p>
        </w:tc>
      </w:tr>
      <w:tr w:rsidR="00185E9B" w:rsidRPr="00642DF1" w14:paraId="108A91CF" w14:textId="77777777" w:rsidTr="00F5486C">
        <w:trPr>
          <w:jc w:val="center"/>
        </w:trPr>
        <w:tc>
          <w:tcPr>
            <w:tcW w:w="1696" w:type="dxa"/>
          </w:tcPr>
          <w:p w14:paraId="1025B9B4"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1251EC82" w14:textId="3E38DB3D"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6BEB00F4" w14:textId="794CE40A"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Khoản 2: Cách tính, hưởng phụ cấp lưu động thực hiện theo quy định của pháp luật, kiến nghị cần nêu rõ áp dụng theo văn bản nào hoặc hướng dẫn cụ thể về khoảng cách tối thiểu, số ngày di chuyển, tránh áp dụng tràn lan.</w:t>
            </w:r>
          </w:p>
        </w:tc>
        <w:tc>
          <w:tcPr>
            <w:tcW w:w="5528" w:type="dxa"/>
          </w:tcPr>
          <w:p w14:paraId="44187542" w14:textId="77777777" w:rsidR="00185E9B"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319086A7" w14:textId="0467AD72" w:rsidR="008F4E8C" w:rsidRPr="00642DF1"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Hiện chế độ phụ cấp lưu động đang thực hiện theo quy định tại Thông tư số 06/2005/TT-BNV, trong đó đã quy định cụ thể cách tính, hưởng.</w:t>
            </w:r>
          </w:p>
        </w:tc>
      </w:tr>
      <w:tr w:rsidR="00185E9B" w:rsidRPr="00642DF1" w14:paraId="17C4999D" w14:textId="77777777" w:rsidTr="00F5486C">
        <w:trPr>
          <w:jc w:val="center"/>
        </w:trPr>
        <w:tc>
          <w:tcPr>
            <w:tcW w:w="1696" w:type="dxa"/>
          </w:tcPr>
          <w:p w14:paraId="1C79D202"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087A5136" w14:textId="1BC69BAE"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578A4278" w14:textId="09BDAAF3"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rPr>
              <w:t>Dự thảo Nghi định quy định: “Ngoài các đối tượng được hưởng theo quy định hiện hành của pháp luật, những trường hợp sau được hưởng phụ cấp lưu động hệ số 0.2 so với mức lương cơ sở theo số ngày thực tế lưu động: Nhà giáo được cử đi biệt phái” (điểm a khoản 1 Điều 8). Trong khi đó, Nghị định số 204/2004/NĐ-CP quy định: “Phụ cấp lưu động: Áp dụng đối với cán bộ, công chức, viên chức làm việc ở một số nghề hoặc công việc thường xuyên thay đổi địa điểm làm việc và nơi ở” (khoản 6 Điều 6). Mặt khác, Luật Viên chức quy định: “Thời hạn cử biệt phái không quá 03 năm, trừ một số ngành, lĩnh vực do Chính phủ quy định” (khoản 2 Điều 36). Trường hợp biệt phái đến địa bàn khó khăn thì được hưởng phụ cấp khu vực theo quy định hiện hành. Trong khi đó, khoản 2 Điều 6 dự thảo Nghị định đã quy định: “Nhà giáo được điều động hoặc biệt phái từ cơ sở giáo dục công lập này đến cơ sở giáo dục công lập khác được hưởng các mức phụ cấp áp dụng đối với cơ sở giáo dục nhà giáo được điều động đến hoặc đến biệt phái…”. Do đó, việc quy định phụ cấp lưu động cho nhà giáo biệt phái như trên là chưa thực sự phù hợp, cần được rà soát, chỉnh lý cho phù hợp hơn.</w:t>
            </w:r>
          </w:p>
        </w:tc>
        <w:tc>
          <w:tcPr>
            <w:tcW w:w="5528" w:type="dxa"/>
          </w:tcPr>
          <w:p w14:paraId="21789CFF" w14:textId="77777777" w:rsidR="00185E9B"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6FEB6637" w14:textId="77777777" w:rsidR="008F4E8C"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Hiện chế độ phụ cấp lưu động đang thực hiện theo quy định tại Thông tư số 06/2005/TT-BNV. Đối với ngành Giáo dục, hiện phụ cấp lưu động chỉ chi trả mức 0,2 cho </w:t>
            </w:r>
            <w:r w:rsidRPr="008F4E8C">
              <w:rPr>
                <w:rFonts w:ascii="Times New Roman" w:hAnsi="Times New Roman" w:cs="Times New Roman"/>
                <w:spacing w:val="-6"/>
                <w:sz w:val="24"/>
                <w:szCs w:val="24"/>
                <w:lang w:val="pt-BR"/>
              </w:rPr>
              <w:t>nhà giáo, cán bộ quản lý giáo dục (kể cả hợp đồng trong chỉ tiêu biên chế và những người trong thời gian thử việc) công tác tại vùng có điều kiện kinh tế - xã hội đặc biệt khó khăn đang làm chuyên trách về xoá mù chữ và phổ cập giáo dục mà trong tháng có từ 15 ngày trở lên đi đến các thôn, bản, phum, sóc.</w:t>
            </w:r>
          </w:p>
          <w:p w14:paraId="6E24E07A" w14:textId="0B22FF12" w:rsidR="008F4E8C" w:rsidRPr="00642DF1" w:rsidRDefault="008F4E8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Nhà giáo được cử đi biệt phái có thời hạn, sau thời gian biệt phái sẽ quay trở lại đơn vị cũ nên sẽ di chuyển liên tục giữa nơi được cử đi biệt phái và nơi</w:t>
            </w:r>
            <w:r w:rsidR="00331378">
              <w:rPr>
                <w:rFonts w:ascii="Times New Roman" w:hAnsi="Times New Roman" w:cs="Times New Roman"/>
                <w:spacing w:val="-6"/>
                <w:sz w:val="24"/>
                <w:szCs w:val="24"/>
                <w:lang w:val="pt-BR"/>
              </w:rPr>
              <w:t xml:space="preserve"> sinh sống</w:t>
            </w:r>
            <w:r>
              <w:rPr>
                <w:rFonts w:ascii="Times New Roman" w:hAnsi="Times New Roman" w:cs="Times New Roman"/>
                <w:spacing w:val="-6"/>
                <w:sz w:val="24"/>
                <w:szCs w:val="24"/>
                <w:lang w:val="pt-BR"/>
              </w:rPr>
              <w:t xml:space="preserve"> trong </w:t>
            </w:r>
            <w:r w:rsidR="00331378">
              <w:rPr>
                <w:rFonts w:ascii="Times New Roman" w:hAnsi="Times New Roman" w:cs="Times New Roman"/>
                <w:spacing w:val="-6"/>
                <w:sz w:val="24"/>
                <w:szCs w:val="24"/>
                <w:lang w:val="pt-BR"/>
              </w:rPr>
              <w:t>suốt quá trình</w:t>
            </w:r>
            <w:r>
              <w:rPr>
                <w:rFonts w:ascii="Times New Roman" w:hAnsi="Times New Roman" w:cs="Times New Roman"/>
                <w:spacing w:val="-6"/>
                <w:sz w:val="24"/>
                <w:szCs w:val="24"/>
                <w:lang w:val="pt-BR"/>
              </w:rPr>
              <w:t xml:space="preserve"> đi biệt phái</w:t>
            </w:r>
            <w:r w:rsidR="00331378">
              <w:rPr>
                <w:rFonts w:ascii="Times New Roman" w:hAnsi="Times New Roman" w:cs="Times New Roman"/>
                <w:spacing w:val="-6"/>
                <w:sz w:val="24"/>
                <w:szCs w:val="24"/>
                <w:lang w:val="pt-BR"/>
              </w:rPr>
              <w:t>. Vì vậy, trường hợp này xứng đáng để được hưởng chế độ phụ cấp lưu động.</w:t>
            </w:r>
          </w:p>
        </w:tc>
      </w:tr>
      <w:tr w:rsidR="00185E9B" w:rsidRPr="00642DF1" w14:paraId="71B0A2D2" w14:textId="77777777" w:rsidTr="00F5486C">
        <w:trPr>
          <w:jc w:val="center"/>
        </w:trPr>
        <w:tc>
          <w:tcPr>
            <w:tcW w:w="1696" w:type="dxa"/>
          </w:tcPr>
          <w:p w14:paraId="3F606B98"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710C6DEC" w14:textId="71E7B9B9"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04E1F06C" w14:textId="61CCD621" w:rsidR="00185E9B" w:rsidRPr="00642DF1" w:rsidRDefault="00185E9B" w:rsidP="00185E9B">
            <w:pPr>
              <w:spacing w:after="120"/>
              <w:jc w:val="both"/>
              <w:rPr>
                <w:rFonts w:ascii="Times New Roman" w:hAnsi="Times New Roman" w:cs="Times New Roman"/>
                <w:sz w:val="24"/>
                <w:szCs w:val="24"/>
              </w:rPr>
            </w:pPr>
            <w:r w:rsidRPr="00642DF1">
              <w:rPr>
                <w:rFonts w:ascii="Times New Roman" w:eastAsia="Calibri" w:hAnsi="Times New Roman" w:cs="Times New Roman"/>
                <w:spacing w:val="-4"/>
                <w:sz w:val="24"/>
                <w:szCs w:val="24"/>
                <w:lang w:val="nl-NL"/>
              </w:rPr>
              <w:t>Làm rõ căn cứ pháp lý, thực tiễn đề xuất bổ sung đối tượng hưởng phụ cấp</w:t>
            </w:r>
          </w:p>
        </w:tc>
        <w:tc>
          <w:tcPr>
            <w:tcW w:w="5528" w:type="dxa"/>
          </w:tcPr>
          <w:p w14:paraId="6AD1121C" w14:textId="05F368B4" w:rsidR="00185E9B" w:rsidRPr="00642DF1"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bổ sung tại bảng thuyết minh và dự thảo Tờ trình</w:t>
            </w:r>
          </w:p>
        </w:tc>
      </w:tr>
      <w:tr w:rsidR="00185E9B" w:rsidRPr="00642DF1" w14:paraId="2CA00B63" w14:textId="77777777" w:rsidTr="00F5486C">
        <w:trPr>
          <w:jc w:val="center"/>
        </w:trPr>
        <w:tc>
          <w:tcPr>
            <w:tcW w:w="1696" w:type="dxa"/>
          </w:tcPr>
          <w:p w14:paraId="2732989D" w14:textId="6433AF8F"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9</w:t>
            </w:r>
          </w:p>
        </w:tc>
        <w:tc>
          <w:tcPr>
            <w:tcW w:w="1560" w:type="dxa"/>
          </w:tcPr>
          <w:p w14:paraId="5B158E4F" w14:textId="50F60F0B"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65014D48" w14:textId="620A99A7"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Khoản 2: Các yếu tố (bụi, tiếng ồn, nhiệt độ) trong giảng dạy thông thường khó xác định bằng định lượng. Do đó, cần quy định rõ căn cứ xác định và trách nhiệm đánh giá điều kiện lao động của cơ sở giáo dục.</w:t>
            </w:r>
          </w:p>
        </w:tc>
        <w:tc>
          <w:tcPr>
            <w:tcW w:w="5528" w:type="dxa"/>
          </w:tcPr>
          <w:p w14:paraId="30AFE7E7" w14:textId="77777777" w:rsidR="00331378"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27C093D6" w14:textId="77777777" w:rsidR="00331378" w:rsidRDefault="00331378" w:rsidP="00185E9B">
            <w:pPr>
              <w:tabs>
                <w:tab w:val="left" w:leader="dot" w:pos="9072"/>
                <w:tab w:val="center" w:leader="dot" w:pos="14572"/>
              </w:tabs>
              <w:spacing w:after="120"/>
              <w:jc w:val="both"/>
              <w:rPr>
                <w:rFonts w:ascii="Times New Roman" w:hAnsi="Times New Roman" w:cs="Times New Roman"/>
                <w:color w:val="000000"/>
                <w:spacing w:val="-2"/>
                <w:sz w:val="24"/>
                <w:szCs w:val="24"/>
              </w:rPr>
            </w:pPr>
            <w:r>
              <w:rPr>
                <w:rFonts w:ascii="Times New Roman" w:hAnsi="Times New Roman" w:cs="Times New Roman"/>
                <w:color w:val="000000"/>
                <w:spacing w:val="-2"/>
                <w:sz w:val="24"/>
                <w:szCs w:val="24"/>
              </w:rPr>
              <w:t xml:space="preserve">Đây không phải là chính sách mới mà là các quy định tại Nghị định số </w:t>
            </w:r>
            <w:r w:rsidRPr="00C67224">
              <w:rPr>
                <w:rFonts w:ascii="Times New Roman" w:hAnsi="Times New Roman" w:cs="Times New Roman"/>
                <w:color w:val="000000"/>
                <w:spacing w:val="-2"/>
                <w:sz w:val="24"/>
                <w:szCs w:val="24"/>
              </w:rPr>
              <w:t>113/2015/NĐ-CP ngày 19/11/2015 được đưa sang quy định tại Nghị định này để giảm tải số lượng văn bản quy định, dễ cho các cơ sở giáo dục tra cứu, thực hiện.</w:t>
            </w:r>
          </w:p>
          <w:p w14:paraId="7DFEA229" w14:textId="256D3BD1" w:rsidR="00331378" w:rsidRPr="00642DF1"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Đồng thời, chính sách này đã được thực hiện ổn định từ năm 2015 cho đến nay.</w:t>
            </w:r>
          </w:p>
        </w:tc>
      </w:tr>
      <w:tr w:rsidR="00185E9B" w:rsidRPr="00642DF1" w14:paraId="42E5FDEC" w14:textId="77777777" w:rsidTr="00F5486C">
        <w:trPr>
          <w:jc w:val="center"/>
        </w:trPr>
        <w:tc>
          <w:tcPr>
            <w:tcW w:w="1696" w:type="dxa"/>
          </w:tcPr>
          <w:p w14:paraId="00BBF1E6"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453BB15D" w14:textId="65C33514"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Tài chính</w:t>
            </w:r>
          </w:p>
        </w:tc>
        <w:tc>
          <w:tcPr>
            <w:tcW w:w="5953" w:type="dxa"/>
          </w:tcPr>
          <w:p w14:paraId="1E100817" w14:textId="0CD83395"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eastAsia="Calibri" w:hAnsi="Times New Roman" w:cs="Times New Roman"/>
                <w:spacing w:val="-4"/>
                <w:sz w:val="24"/>
                <w:szCs w:val="24"/>
                <w:lang w:val="nl-NL"/>
              </w:rPr>
              <w:t>Làm rõ căn cứ pháp lý, thực tiễn đề xuất bổ sung đối tượng hưởng phụ cấp</w:t>
            </w:r>
          </w:p>
        </w:tc>
        <w:tc>
          <w:tcPr>
            <w:tcW w:w="5528" w:type="dxa"/>
          </w:tcPr>
          <w:p w14:paraId="00B357F3" w14:textId="77777777" w:rsidR="00331378"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color w:val="000000"/>
                <w:spacing w:val="-2"/>
                <w:sz w:val="24"/>
                <w:szCs w:val="24"/>
              </w:rPr>
              <w:t xml:space="preserve">Tiếp thu và đã </w:t>
            </w:r>
            <w:r>
              <w:rPr>
                <w:rFonts w:ascii="Times New Roman" w:hAnsi="Times New Roman" w:cs="Times New Roman"/>
                <w:spacing w:val="-6"/>
                <w:sz w:val="24"/>
                <w:szCs w:val="24"/>
                <w:lang w:val="pt-BR"/>
              </w:rPr>
              <w:t>bổ sung tại bảng thuyết minh và dự thảo Tờ trình</w:t>
            </w:r>
          </w:p>
          <w:p w14:paraId="68132E59" w14:textId="34B0E0F8" w:rsidR="00185E9B" w:rsidRPr="00642DF1"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color w:val="000000"/>
                <w:spacing w:val="-2"/>
                <w:sz w:val="24"/>
                <w:szCs w:val="24"/>
              </w:rPr>
              <w:t xml:space="preserve">Đây không phải là chính sách mới mà là các quy định tại Nghị định số </w:t>
            </w:r>
            <w:r w:rsidRPr="00C67224">
              <w:rPr>
                <w:rFonts w:ascii="Times New Roman" w:hAnsi="Times New Roman" w:cs="Times New Roman"/>
                <w:color w:val="000000"/>
                <w:spacing w:val="-2"/>
                <w:sz w:val="24"/>
                <w:szCs w:val="24"/>
              </w:rPr>
              <w:t>113/2015/NĐ-CP ngày 19/11/2015 được đưa sang quy định tại Nghị định này để giảm tải số lượng văn bản quy định, dễ cho các cơ sở giáo dục tra cứu, thực hiện.</w:t>
            </w:r>
          </w:p>
        </w:tc>
      </w:tr>
      <w:tr w:rsidR="00185E9B" w:rsidRPr="00642DF1" w14:paraId="00623610" w14:textId="77777777" w:rsidTr="00F5486C">
        <w:trPr>
          <w:jc w:val="center"/>
        </w:trPr>
        <w:tc>
          <w:tcPr>
            <w:tcW w:w="1696" w:type="dxa"/>
          </w:tcPr>
          <w:p w14:paraId="7B92BE2A" w14:textId="299BBFF0"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10</w:t>
            </w:r>
          </w:p>
        </w:tc>
        <w:tc>
          <w:tcPr>
            <w:tcW w:w="1560" w:type="dxa"/>
          </w:tcPr>
          <w:p w14:paraId="479646BF" w14:textId="546C70A4"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Mặt trận Tổ quốc VN</w:t>
            </w:r>
          </w:p>
        </w:tc>
        <w:tc>
          <w:tcPr>
            <w:tcW w:w="5953" w:type="dxa"/>
          </w:tcPr>
          <w:p w14:paraId="6B24E008" w14:textId="68776D3B"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Khoản 2: “Cơ sở giáo dục ngoài công lập có thể áp dụng Nghị định này” nên đổi “có thể” thành “được khuyến khích áp dụng” để rõ tính khuyến nghị, tránh hiểu lầm là bắt buộc.</w:t>
            </w:r>
          </w:p>
        </w:tc>
        <w:tc>
          <w:tcPr>
            <w:tcW w:w="5528" w:type="dxa"/>
          </w:tcPr>
          <w:p w14:paraId="438D1F4B" w14:textId="77777777" w:rsidR="00185E9B" w:rsidRPr="00F5486C"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F5486C">
              <w:rPr>
                <w:rFonts w:ascii="Times New Roman" w:hAnsi="Times New Roman" w:cs="Times New Roman"/>
                <w:spacing w:val="-6"/>
                <w:sz w:val="24"/>
                <w:szCs w:val="24"/>
                <w:lang w:val="pt-BR"/>
              </w:rPr>
              <w:t>Tiếp thu và đã điều chỉnh thành:</w:t>
            </w:r>
          </w:p>
          <w:p w14:paraId="00B37A29" w14:textId="4FAD163F" w:rsidR="00331378" w:rsidRPr="00F5486C"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F5486C">
              <w:rPr>
                <w:rFonts w:ascii="Times New Roman" w:hAnsi="Times New Roman" w:cs="Times New Roman"/>
                <w:spacing w:val="-6"/>
                <w:sz w:val="24"/>
                <w:szCs w:val="24"/>
                <w:lang w:val="pt-BR"/>
              </w:rPr>
              <w:t>“</w:t>
            </w:r>
            <w:r w:rsidRPr="00F5486C">
              <w:rPr>
                <w:rFonts w:ascii="Times New Roman" w:hAnsi="Times New Roman" w:cs="Times New Roman"/>
                <w:sz w:val="24"/>
                <w:szCs w:val="24"/>
              </w:rPr>
              <w:t xml:space="preserve">Cơ sở giáo dục ngoài công lập </w:t>
            </w:r>
            <w:r w:rsidRPr="00F5486C">
              <w:rPr>
                <w:rFonts w:ascii="Times New Roman" w:hAnsi="Times New Roman" w:cs="Times New Roman"/>
                <w:color w:val="FF0000"/>
                <w:sz w:val="24"/>
                <w:szCs w:val="24"/>
              </w:rPr>
              <w:t xml:space="preserve">được </w:t>
            </w:r>
            <w:r w:rsidRPr="00F5486C">
              <w:rPr>
                <w:rFonts w:ascii="Times New Roman" w:hAnsi="Times New Roman" w:cs="Times New Roman"/>
                <w:strike/>
                <w:color w:val="FF0000"/>
                <w:sz w:val="24"/>
                <w:szCs w:val="24"/>
              </w:rPr>
              <w:t>có thể</w:t>
            </w:r>
            <w:r w:rsidRPr="00F5486C">
              <w:rPr>
                <w:rFonts w:ascii="Times New Roman" w:hAnsi="Times New Roman" w:cs="Times New Roman"/>
                <w:color w:val="FF0000"/>
                <w:sz w:val="24"/>
                <w:szCs w:val="24"/>
              </w:rPr>
              <w:t xml:space="preserve"> </w:t>
            </w:r>
            <w:r w:rsidRPr="00F5486C">
              <w:rPr>
                <w:rFonts w:ascii="Times New Roman" w:hAnsi="Times New Roman" w:cs="Times New Roman"/>
                <w:sz w:val="24"/>
                <w:szCs w:val="24"/>
              </w:rPr>
              <w:t>áp dụng quy định tại Nghị định này thực hiện chính sách tiền lương và chế độ phụ cấp đối với nhà giáo thuộc thẩm quyền quản lý”</w:t>
            </w:r>
          </w:p>
        </w:tc>
      </w:tr>
      <w:tr w:rsidR="00185E9B" w:rsidRPr="00642DF1" w14:paraId="01D33C15" w14:textId="77777777" w:rsidTr="00F5486C">
        <w:trPr>
          <w:jc w:val="center"/>
        </w:trPr>
        <w:tc>
          <w:tcPr>
            <w:tcW w:w="1696" w:type="dxa"/>
          </w:tcPr>
          <w:p w14:paraId="5A19F79A" w14:textId="3B20212C"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313CA783" w14:textId="0653B52C"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Quốc phòng</w:t>
            </w:r>
          </w:p>
        </w:tc>
        <w:tc>
          <w:tcPr>
            <w:tcW w:w="5953" w:type="dxa"/>
          </w:tcPr>
          <w:p w14:paraId="7EF31AE3" w14:textId="4A5BB449"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Khoản 4: Đề nghị sửa từ “Điều 8” thành “Điều 7” cho đúng với nội dung có liên quan</w:t>
            </w:r>
          </w:p>
        </w:tc>
        <w:tc>
          <w:tcPr>
            <w:tcW w:w="5528" w:type="dxa"/>
          </w:tcPr>
          <w:p w14:paraId="4F5B6F8C" w14:textId="5B0ED4B3" w:rsidR="00185E9B" w:rsidRPr="00642DF1"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điều chỉnh</w:t>
            </w:r>
          </w:p>
        </w:tc>
      </w:tr>
      <w:tr w:rsidR="00185E9B" w:rsidRPr="00642DF1" w14:paraId="2BE812E3" w14:textId="77777777" w:rsidTr="00F5486C">
        <w:trPr>
          <w:jc w:val="center"/>
        </w:trPr>
        <w:tc>
          <w:tcPr>
            <w:tcW w:w="1696" w:type="dxa"/>
          </w:tcPr>
          <w:p w14:paraId="60838B23"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317DB5AD" w14:textId="41F0DA17"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3EAF8045" w14:textId="3578A893"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rPr>
              <w:t>Dự thảo Nghị định quy định: “Trong thời gian nghỉ hè nhà giáo được hưởng nguyên lương và các khoản phụ cấp” (khoản 1 Điều 10). Nội dung này cần được thuyết minh về cơ sở quy định chính sách này, bảo đảm thống nhất trong thực hiện chế độ, chính sách.</w:t>
            </w:r>
          </w:p>
        </w:tc>
        <w:tc>
          <w:tcPr>
            <w:tcW w:w="5528" w:type="dxa"/>
          </w:tcPr>
          <w:p w14:paraId="3A8D7A58" w14:textId="77777777" w:rsidR="00331378" w:rsidRPr="00331378" w:rsidRDefault="00331378"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331378">
              <w:rPr>
                <w:rFonts w:ascii="Times New Roman" w:hAnsi="Times New Roman" w:cs="Times New Roman"/>
                <w:spacing w:val="-6"/>
                <w:sz w:val="24"/>
                <w:szCs w:val="24"/>
                <w:lang w:val="pt-BR"/>
              </w:rPr>
              <w:t>Đề nghị bảo lưu</w:t>
            </w:r>
          </w:p>
          <w:p w14:paraId="3AA4D87C" w14:textId="77777777" w:rsidR="00331378" w:rsidRPr="00331378" w:rsidRDefault="00331378" w:rsidP="00331378">
            <w:pPr>
              <w:ind w:left="28" w:hanging="28"/>
              <w:jc w:val="both"/>
              <w:rPr>
                <w:rFonts w:ascii="Times New Roman" w:hAnsi="Times New Roman" w:cs="Times New Roman"/>
                <w:sz w:val="24"/>
                <w:szCs w:val="24"/>
              </w:rPr>
            </w:pPr>
            <w:r w:rsidRPr="00331378">
              <w:rPr>
                <w:rFonts w:ascii="Times New Roman" w:hAnsi="Times New Roman" w:cs="Times New Roman"/>
                <w:sz w:val="24"/>
                <w:szCs w:val="24"/>
              </w:rPr>
              <w:t>1. Theo quy định tại tại khoản 5 Điều 70 Luật Giáo dục, nhà giáo có quyền “được nghỉ hè theo quy định của Chính phủ và các ngày nghỉ khác theo quy định của pháp luật”.</w:t>
            </w:r>
          </w:p>
          <w:p w14:paraId="6111E8FB" w14:textId="77777777" w:rsidR="00331378" w:rsidRPr="00331378" w:rsidRDefault="00331378" w:rsidP="00331378">
            <w:pPr>
              <w:shd w:val="solid" w:color="FFFFFF" w:fill="auto"/>
              <w:ind w:left="28" w:hanging="28"/>
              <w:jc w:val="both"/>
              <w:rPr>
                <w:rFonts w:ascii="Times New Roman" w:hAnsi="Times New Roman" w:cs="Times New Roman"/>
                <w:sz w:val="24"/>
                <w:szCs w:val="24"/>
              </w:rPr>
            </w:pPr>
            <w:r w:rsidRPr="00331378">
              <w:rPr>
                <w:rFonts w:ascii="Times New Roman" w:hAnsi="Times New Roman" w:cs="Times New Roman"/>
                <w:sz w:val="24"/>
                <w:szCs w:val="24"/>
              </w:rPr>
              <w:t xml:space="preserve">2. Theo quy định tại điểm a khoản 1 Điều 3 Nghị định số 84/2020/NĐ-CP ngày 17/7/2020 của Chính phủ </w:t>
            </w:r>
            <w:r w:rsidRPr="00331378">
              <w:rPr>
                <w:rFonts w:ascii="Times New Roman" w:hAnsi="Times New Roman" w:cs="Times New Roman"/>
                <w:iCs/>
                <w:sz w:val="24"/>
                <w:szCs w:val="24"/>
              </w:rPr>
              <w:t>quy định chi tiết một số điều của Luật Giáo dục,</w:t>
            </w:r>
            <w:r w:rsidRPr="00331378">
              <w:rPr>
                <w:rFonts w:ascii="Times New Roman" w:hAnsi="Times New Roman" w:cs="Times New Roman"/>
                <w:sz w:val="24"/>
                <w:szCs w:val="24"/>
              </w:rPr>
              <w:t xml:space="preserve"> thì “</w:t>
            </w:r>
            <w:r w:rsidRPr="00331378">
              <w:rPr>
                <w:rFonts w:ascii="Times New Roman" w:hAnsi="Times New Roman" w:cs="Times New Roman"/>
                <w:sz w:val="24"/>
                <w:szCs w:val="24"/>
                <w:shd w:val="clear" w:color="auto" w:fill="FFFFFF"/>
              </w:rPr>
              <w:t>thời gian nghỉ hè hằng năm của giáo viên cơ sở giáo dục mầm non, cơ sở giáo dục phổ thông, trường chuyên biệt là 08 tuần, bao gồm cả nghỉ phép hằng năm” và khoản 2 Điều 3 “</w:t>
            </w:r>
            <w:r w:rsidRPr="00331378">
              <w:rPr>
                <w:rFonts w:ascii="Times New Roman" w:hAnsi="Times New Roman" w:cs="Times New Roman"/>
                <w:sz w:val="24"/>
                <w:szCs w:val="24"/>
              </w:rPr>
              <w:t>ngoài thời gian nghỉ hè theo quy định tại khoản 1 Điều này, giáo viên, giảng viên được nghỉ lễ, tết và các ngày nghỉ khác theo quy định của Bộ luật Lao động”. Do đó, đối với giáo viên thời gian nghỉ hè là thời gian thay thế cho thời gian nghỉ hằng năm.</w:t>
            </w:r>
          </w:p>
          <w:p w14:paraId="0723E085" w14:textId="77777777" w:rsidR="00331378" w:rsidRPr="00331378" w:rsidRDefault="00331378" w:rsidP="00331378">
            <w:pPr>
              <w:shd w:val="solid" w:color="FFFFFF" w:fill="auto"/>
              <w:ind w:left="28" w:hanging="28"/>
              <w:jc w:val="both"/>
              <w:rPr>
                <w:rFonts w:ascii="Times New Roman" w:hAnsi="Times New Roman" w:cs="Times New Roman"/>
                <w:sz w:val="24"/>
                <w:szCs w:val="24"/>
              </w:rPr>
            </w:pPr>
            <w:r w:rsidRPr="00331378">
              <w:rPr>
                <w:rFonts w:ascii="Times New Roman" w:hAnsi="Times New Roman" w:cs="Times New Roman"/>
                <w:sz w:val="24"/>
                <w:szCs w:val="24"/>
              </w:rPr>
              <w:t>3. Theo quy định tại khoản 1 Điều 113 Bộ luật Lao động, thì người lao động được nghỉ hằng năm và hưởng nguyên lương theo hợp đồng lao động.</w:t>
            </w:r>
          </w:p>
          <w:p w14:paraId="6DD8A969" w14:textId="0B18F04F" w:rsidR="00331378" w:rsidRPr="00331378" w:rsidRDefault="00331378" w:rsidP="00331378">
            <w:pPr>
              <w:tabs>
                <w:tab w:val="left" w:leader="dot" w:pos="9072"/>
                <w:tab w:val="center" w:leader="dot" w:pos="14572"/>
              </w:tabs>
              <w:spacing w:after="120"/>
              <w:jc w:val="both"/>
              <w:rPr>
                <w:rFonts w:cs="Times New Roman"/>
                <w:sz w:val="24"/>
                <w:szCs w:val="24"/>
                <w:shd w:val="clear" w:color="auto" w:fill="FFFFFF"/>
              </w:rPr>
            </w:pPr>
            <w:r w:rsidRPr="00331378">
              <w:rPr>
                <w:rFonts w:ascii="Times New Roman" w:hAnsi="Times New Roman" w:cs="Times New Roman"/>
                <w:sz w:val="24"/>
                <w:szCs w:val="24"/>
              </w:rPr>
              <w:t xml:space="preserve">4. Đồng thời, theo quy định tại khoản 2 Điều 67 Nghị định số </w:t>
            </w:r>
            <w:r w:rsidRPr="00331378">
              <w:rPr>
                <w:rFonts w:ascii="Times New Roman" w:hAnsi="Times New Roman" w:cs="Times New Roman"/>
                <w:sz w:val="24"/>
                <w:szCs w:val="24"/>
                <w:shd w:val="clear" w:color="auto" w:fill="FFFFFF"/>
                <w:lang w:val="vi-VN"/>
              </w:rPr>
              <w:t>1</w:t>
            </w:r>
            <w:r w:rsidRPr="00331378">
              <w:rPr>
                <w:rFonts w:ascii="Times New Roman" w:hAnsi="Times New Roman" w:cs="Times New Roman"/>
                <w:sz w:val="24"/>
                <w:szCs w:val="24"/>
                <w:shd w:val="clear" w:color="auto" w:fill="FFFFFF"/>
              </w:rPr>
              <w:t>45/2020</w:t>
            </w:r>
            <w:r w:rsidRPr="00331378">
              <w:rPr>
                <w:rFonts w:ascii="Times New Roman" w:hAnsi="Times New Roman" w:cs="Times New Roman"/>
                <w:sz w:val="24"/>
                <w:szCs w:val="24"/>
                <w:shd w:val="clear" w:color="auto" w:fill="FFFFFF"/>
                <w:lang w:val="vi-VN"/>
              </w:rPr>
              <w:t>/N</w:t>
            </w:r>
            <w:r w:rsidRPr="00331378">
              <w:rPr>
                <w:rFonts w:ascii="Times New Roman" w:hAnsi="Times New Roman" w:cs="Times New Roman"/>
                <w:sz w:val="24"/>
                <w:szCs w:val="24"/>
                <w:shd w:val="clear" w:color="auto" w:fill="FFFFFF"/>
              </w:rPr>
              <w:t>Đ</w:t>
            </w:r>
            <w:r w:rsidRPr="00331378">
              <w:rPr>
                <w:rFonts w:ascii="Times New Roman" w:hAnsi="Times New Roman" w:cs="Times New Roman"/>
                <w:sz w:val="24"/>
                <w:szCs w:val="24"/>
                <w:shd w:val="clear" w:color="auto" w:fill="FFFFFF"/>
                <w:lang w:val="vi-VN"/>
              </w:rPr>
              <w:t>-CP</w:t>
            </w:r>
            <w:r w:rsidRPr="00331378">
              <w:rPr>
                <w:rFonts w:ascii="Times New Roman" w:hAnsi="Times New Roman" w:cs="Times New Roman"/>
                <w:sz w:val="24"/>
                <w:szCs w:val="24"/>
                <w:shd w:val="clear" w:color="auto" w:fill="FFFFFF"/>
              </w:rPr>
              <w:t xml:space="preserve"> ngày 14/12/2020 của Chính phủ </w:t>
            </w:r>
            <w:r w:rsidRPr="00331378">
              <w:rPr>
                <w:rFonts w:ascii="Times New Roman" w:hAnsi="Times New Roman" w:cs="Times New Roman"/>
                <w:iCs/>
                <w:sz w:val="24"/>
                <w:szCs w:val="24"/>
                <w:shd w:val="clear" w:color="auto" w:fill="FFFFFF"/>
              </w:rPr>
              <w:t>quy định chi tiết và hướng dẫn thi hành một số điều của </w:t>
            </w:r>
            <w:hyperlink r:id="rId8" w:tgtFrame="_blank" w:history="1">
              <w:r w:rsidRPr="00331378">
                <w:rPr>
                  <w:rStyle w:val="Hyperlink"/>
                  <w:rFonts w:ascii="Times New Roman" w:hAnsi="Times New Roman" w:cs="Times New Roman"/>
                  <w:iCs/>
                  <w:sz w:val="24"/>
                  <w:szCs w:val="24"/>
                  <w:shd w:val="clear" w:color="auto" w:fill="FFFFFF"/>
                </w:rPr>
                <w:t>Bộ luật Lao động</w:t>
              </w:r>
            </w:hyperlink>
            <w:r w:rsidRPr="00331378">
              <w:rPr>
                <w:rFonts w:ascii="Times New Roman" w:hAnsi="Times New Roman" w:cs="Times New Roman"/>
                <w:iCs/>
                <w:sz w:val="24"/>
                <w:szCs w:val="24"/>
                <w:shd w:val="clear" w:color="auto" w:fill="FFFFFF"/>
              </w:rPr>
              <w:t> về điều kiện lao động và quan hệ lao động</w:t>
            </w:r>
            <w:r w:rsidRPr="00331378">
              <w:rPr>
                <w:rFonts w:ascii="Times New Roman" w:hAnsi="Times New Roman" w:cs="Times New Roman"/>
                <w:sz w:val="24"/>
                <w:szCs w:val="24"/>
              </w:rPr>
              <w:t>, thì “t</w:t>
            </w:r>
            <w:r w:rsidRPr="00331378">
              <w:rPr>
                <w:rFonts w:ascii="Times New Roman" w:hAnsi="Times New Roman" w:cs="Times New Roman"/>
                <w:sz w:val="24"/>
                <w:szCs w:val="24"/>
                <w:shd w:val="clear" w:color="auto" w:fill="FFFFFF"/>
              </w:rPr>
              <w:t>iền lương làm căn cứ trả cho người lao động những ngày nghỉ lễ, tết, nghỉ hằng năm, nghỉ việc riêng có hưởng lương theo Điều 112, khoản 1 và khoản 2 Điều 113, Điều 114, khoản 1 Điều 115 của Bộ luật Lao động là tiền lương theo hợp đồng lao động tại thời điểm người lao động nghỉ lễ, tết, nghỉ hằng năm, nghỉ việc riêng có hưởng lương”.</w:t>
            </w:r>
          </w:p>
        </w:tc>
      </w:tr>
      <w:tr w:rsidR="00185E9B" w:rsidRPr="00642DF1" w14:paraId="527A7FB0" w14:textId="77777777" w:rsidTr="00F5486C">
        <w:trPr>
          <w:jc w:val="center"/>
        </w:trPr>
        <w:tc>
          <w:tcPr>
            <w:tcW w:w="1696" w:type="dxa"/>
          </w:tcPr>
          <w:p w14:paraId="7A5E9074" w14:textId="57164FDD"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11</w:t>
            </w:r>
          </w:p>
        </w:tc>
        <w:tc>
          <w:tcPr>
            <w:tcW w:w="1560" w:type="dxa"/>
          </w:tcPr>
          <w:p w14:paraId="18D89C64" w14:textId="48284189"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48F471AF" w14:textId="5CC77BB7"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Dự thảo Nghị định quy định: “Khi thực hiện chính sách tiền lương mới, hệ số lương đặc thù tiếp tục được thực hiện; việc chuyển từ lương cũ sang lương mới thực hiện theo quy định của Chính phủ” (khoản 2 Điều 11). Quy định này là chưa phù hợp, bởi lẽ khi thực hiện chính sách tiền lương mới theo quyết định của cấp có thẩm quyền thì chính sách tiền lương (bao gồm cả chính sách tiền lương của nhà giáo) được quy định theo vị trí việc làm đã tính đến yếu tố đặc thù ngành và thực hiện thống nhất trong toàn hệ thống chính trị.</w:t>
            </w:r>
          </w:p>
        </w:tc>
        <w:tc>
          <w:tcPr>
            <w:tcW w:w="5528" w:type="dxa"/>
          </w:tcPr>
          <w:p w14:paraId="64BA19BE" w14:textId="6D1096CF" w:rsidR="00185E9B"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bỏ quy định này</w:t>
            </w:r>
          </w:p>
        </w:tc>
      </w:tr>
      <w:tr w:rsidR="00185E9B" w:rsidRPr="00642DF1" w14:paraId="43082D9F" w14:textId="77777777" w:rsidTr="00F5486C">
        <w:trPr>
          <w:jc w:val="center"/>
        </w:trPr>
        <w:tc>
          <w:tcPr>
            <w:tcW w:w="1696" w:type="dxa"/>
          </w:tcPr>
          <w:p w14:paraId="26CA8C3F"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437320F5" w14:textId="2EE924B1"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32C42934" w14:textId="31D4E079"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Dự thảo Nghị định quy định: “Chính sách tiền lương, chế độ phụ cấp đối với nhà giáo thuộc thẩm quyền quản lý nhà nước của Bộ Công an, Bộ Quốc phòng thực hiện theo hướng dẫn của Bộ trưởng Bộ Công an, Bộ trưởng Bộ Quốc phòng và các quy định của pháp luật có liên quan” (khoản 6 Điều 11). Quy định này là chưa thực sự minh bạch, theo đó quy định trên được hiểu là B</w:t>
            </w:r>
            <w:r w:rsidR="00B01EF9">
              <w:rPr>
                <w:rFonts w:ascii="Times New Roman" w:hAnsi="Times New Roman" w:cs="Times New Roman"/>
                <w:sz w:val="24"/>
                <w:szCs w:val="24"/>
              </w:rPr>
              <w:t>ộ</w:t>
            </w:r>
            <w:r w:rsidRPr="00642DF1">
              <w:rPr>
                <w:rFonts w:ascii="Times New Roman" w:hAnsi="Times New Roman" w:cs="Times New Roman"/>
                <w:sz w:val="24"/>
                <w:szCs w:val="24"/>
              </w:rPr>
              <w:t xml:space="preserve"> trưởng Bộ Công an, Bộ trưởng Bộ Quốc phòng hướng dẫn trên cơ sở quy định tại Nghị định này hay hướng dẫn độc lập? Mặt khác, tương tự chính sách này, tại dự thảo Nghị định quy định về chế độ phụ cấp ưu đãi theo nghề đối với viên chức, người lao động trong cơ sở giáo dục công lập quy định: “Nghị định này không áp dụng đối với cơ sở giáo dục thuộc Bộ Quốc phòng và Bộ Công an” (khoản 2 Điều 1). Nội dung này cần được rà soát, quy định thống nhất, minh bạch và đảm bảo phù hợp về thẩm quyền.</w:t>
            </w:r>
          </w:p>
        </w:tc>
        <w:tc>
          <w:tcPr>
            <w:tcW w:w="5528" w:type="dxa"/>
          </w:tcPr>
          <w:p w14:paraId="5AC1CB8C" w14:textId="77777777" w:rsidR="00185E9B"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4970E09E" w14:textId="77777777" w:rsidR="00B01EF9"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Nội dung này đã thống nhất với Bộ Công an và Bộ Quốc phòng, căn cứ vào đặc thù ngành, Bộ Công an và Bộ Quốc phòng quy định riêng về chế độ tiền lương, chế độ phụ cấp đối với nhà giáo thuộc thẩm quyền quản lý (có thể có chính sách giống hoặc khác Nghị định này.</w:t>
            </w:r>
          </w:p>
          <w:p w14:paraId="2A6D6D55" w14:textId="50C6F0C7" w:rsidR="00B01EF9"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 xml:space="preserve">Hiện tại, </w:t>
            </w:r>
            <w:r w:rsidRPr="00B01EF9">
              <w:rPr>
                <w:rFonts w:ascii="Times New Roman" w:hAnsi="Times New Roman" w:cs="Times New Roman"/>
                <w:spacing w:val="-6"/>
                <w:sz w:val="24"/>
                <w:szCs w:val="24"/>
                <w:lang w:val="pt-BR"/>
              </w:rPr>
              <w:t>Bộ Công an đang xây dựng Thông tư quy định về một số chế độ chi cho hoạt động giáo dục, đào tạo trong Công an nhân dân để bảo đảm các chế độ đặc thù cho đội ngũ nhà giáo thuộc sự quản lý của Bộ Công an.</w:t>
            </w:r>
          </w:p>
        </w:tc>
      </w:tr>
      <w:tr w:rsidR="00185E9B" w:rsidRPr="00642DF1" w14:paraId="51F2AA46" w14:textId="77777777" w:rsidTr="00F5486C">
        <w:trPr>
          <w:jc w:val="center"/>
        </w:trPr>
        <w:tc>
          <w:tcPr>
            <w:tcW w:w="1696" w:type="dxa"/>
          </w:tcPr>
          <w:p w14:paraId="16FE207D" w14:textId="2E91649B"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Chương III về phụ cấp</w:t>
            </w:r>
          </w:p>
        </w:tc>
        <w:tc>
          <w:tcPr>
            <w:tcW w:w="1560" w:type="dxa"/>
          </w:tcPr>
          <w:p w14:paraId="2E312B0F" w14:textId="618A9A01" w:rsidR="00185E9B" w:rsidRPr="00642DF1" w:rsidRDefault="00185E9B" w:rsidP="00185E9B">
            <w:pPr>
              <w:spacing w:after="120"/>
              <w:jc w:val="both"/>
              <w:rPr>
                <w:rFonts w:ascii="Times New Roman" w:hAnsi="Times New Roman" w:cs="Times New Roman"/>
                <w:b/>
                <w:sz w:val="24"/>
                <w:szCs w:val="24"/>
              </w:rPr>
            </w:pPr>
            <w:r w:rsidRPr="00642DF1">
              <w:rPr>
                <w:rFonts w:ascii="Times New Roman" w:hAnsi="Times New Roman" w:cs="Times New Roman"/>
                <w:spacing w:val="-6"/>
                <w:sz w:val="24"/>
                <w:szCs w:val="24"/>
                <w:lang w:val="pt-BR"/>
              </w:rPr>
              <w:t>Mặt trận Tổ quốc VN</w:t>
            </w:r>
          </w:p>
        </w:tc>
        <w:tc>
          <w:tcPr>
            <w:tcW w:w="5953" w:type="dxa"/>
          </w:tcPr>
          <w:p w14:paraId="2F4DBB83" w14:textId="6DC2CE6B"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Nghị quyết 71 yêu cầu nâng mức phụ cấp ưu đãi nghề đối với giáo viên mầm non và phổ thông lên tối thiểu 70% (cho giáo viên) và 100</w:t>
            </w:r>
            <w:r w:rsidR="00B01EF9">
              <w:rPr>
                <w:rFonts w:ascii="Times New Roman" w:hAnsi="Times New Roman" w:cs="Times New Roman"/>
                <w:spacing w:val="-8"/>
                <w:sz w:val="24"/>
                <w:szCs w:val="24"/>
              </w:rPr>
              <w:t>%</w:t>
            </w:r>
            <w:r w:rsidRPr="00642DF1">
              <w:rPr>
                <w:rFonts w:ascii="Times New Roman" w:hAnsi="Times New Roman" w:cs="Times New Roman"/>
                <w:spacing w:val="-8"/>
                <w:sz w:val="24"/>
                <w:szCs w:val="24"/>
              </w:rPr>
              <w:t xml:space="preserve"> cho giáo viên ở khu vực đặc biệt khó khăn . Tuy nhiên, chương III của dự thảo chỉ nêu nhà giáo được hưởng phụ cấp ưu đãi theo nghề theo quy định của pháp luật và Nghị định này, nhưng không quy định cụ thể mức phần trăm mới theo tinh thần Nghị quyết. Nếu Nghị định nhằm cụt hể hóa Nghị quyết, Ban soạn thảo cần bổ sung rõ mức ưu đãi nghề mới để đảm bảo tính khả thi và thực hiện đúng chủ trương.</w:t>
            </w:r>
          </w:p>
        </w:tc>
        <w:tc>
          <w:tcPr>
            <w:tcW w:w="5528" w:type="dxa"/>
          </w:tcPr>
          <w:p w14:paraId="0516EF8C" w14:textId="77777777" w:rsidR="00185E9B"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541F5AFE" w14:textId="7C8B2D4A" w:rsidR="00B01EF9"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đang đồng thời nghiên cứu, xây dựng Nghị định quy định chế độ phụ cấp ưu đãi theo nghề đối với viên chức, người lao động trong các cơ sở giáo dục công lập. Dự thảo Nghị định đã được đăng mạng và gửi lấy ý kiến góp ý.</w:t>
            </w:r>
          </w:p>
        </w:tc>
      </w:tr>
      <w:tr w:rsidR="00185E9B" w:rsidRPr="00642DF1" w14:paraId="6C6D3F9A" w14:textId="77777777" w:rsidTr="00F5486C">
        <w:trPr>
          <w:jc w:val="center"/>
        </w:trPr>
        <w:tc>
          <w:tcPr>
            <w:tcW w:w="1696" w:type="dxa"/>
          </w:tcPr>
          <w:p w14:paraId="0EAE668E"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53A10B89" w14:textId="27C04CBB"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64445837" w14:textId="60E44131"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z w:val="24"/>
                <w:szCs w:val="24"/>
              </w:rPr>
              <w:t xml:space="preserve">Hiện nay, chính sách phụ cấp đối với nhà giáo đang được quy định tại nhiều văn bản pháp luật khác nhau như Quyết định số 244/2005/QĐ-TTg ngày 06/10/2005 của Thủ tướng Chính phủ quy định về chế độ phụ cấp ưu đãi theo nghề đối với nhà giáo trực tiếp giảng dạy tại các cơ sở giáo dục công lập; Nghị định số 61/2006/NĐ-CP ngày 20/6/2006 của Chính phủ về chính sách đối với nhà giáo, cán bộ quản lý giáo dục công tác ở các trường chuyên biệt, vùng có điều kiện kinh tế - xã hội đặc biệt khó khăn; Nghị định số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 Nghị định số 76/2019/NĐ-CP ngày 08/10/2019 của Chính phủ về chính sách đối với cán bộ, công chức, viên chức, người lao động và người hưởng lương trong lực lượng vũ trang công tác ở vùng có điều kiện kinh tế - xã hội đặc biệt khó khăn… Để bảo đảm tính thống nhất trong hệ thống pháp luật, cơ quan chủ trì soạn thảo cân nhắc quy định các chế độ phụ cấp của nhà giáo tại dự thảo Nghị định và xử lý hiệu lực của các văn bản pháp luật hiện hành có liên quan, không để chồng chéo, thiếu thống nhất. </w:t>
            </w:r>
          </w:p>
        </w:tc>
        <w:tc>
          <w:tcPr>
            <w:tcW w:w="5528" w:type="dxa"/>
          </w:tcPr>
          <w:p w14:paraId="33C94D94" w14:textId="77777777" w:rsidR="00185E9B"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w:t>
            </w:r>
          </w:p>
          <w:p w14:paraId="17778E30" w14:textId="77777777" w:rsidR="00B01EF9"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Bộ GDĐT đã rà soát và đưa các quy định tại Nghị định 61/2006/NĐ-CP, Nghị định 113/2015/NĐ-CP, Thông tư 31/2021/TT-BGDĐT... vào quy định tại Nghị định này để bảo đảm tính thống nhất.</w:t>
            </w:r>
          </w:p>
          <w:p w14:paraId="2CF920D4" w14:textId="11B6007C" w:rsidR="00B01EF9"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Riêng quy định về phụ cấp ưu dãi theo nghề do tính phức tạp về quy định đối tượng hưởng, mức hưởng nên hiện tiếp tục quy định tại văn bản riêng.</w:t>
            </w:r>
          </w:p>
        </w:tc>
      </w:tr>
      <w:tr w:rsidR="00185E9B" w:rsidRPr="00642DF1" w14:paraId="5739F8C7" w14:textId="77777777" w:rsidTr="00F5486C">
        <w:trPr>
          <w:jc w:val="center"/>
        </w:trPr>
        <w:tc>
          <w:tcPr>
            <w:tcW w:w="1696" w:type="dxa"/>
          </w:tcPr>
          <w:p w14:paraId="5FE46C46"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591AB296" w14:textId="49F0E194"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Tư pháp</w:t>
            </w:r>
          </w:p>
        </w:tc>
        <w:tc>
          <w:tcPr>
            <w:tcW w:w="5953" w:type="dxa"/>
          </w:tcPr>
          <w:p w14:paraId="704219AD" w14:textId="3997BB81"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Điều 7, Điều 8, Điều 9 dự thảo Nghị định là các vấn đề tài chính - kỹ thuật, cơ quan chủ trì soạn thảo cần thuyết minh cụ thể về cơ sở đề xuất các chính sách cụ thể tại dự thảo Nghị định; đồng thời, phối hợp với Bộ Nội vụ, Bộ Tài chính để đảm bảo tính tương quan và tính khả thi của chính sách</w:t>
            </w:r>
          </w:p>
        </w:tc>
        <w:tc>
          <w:tcPr>
            <w:tcW w:w="5528" w:type="dxa"/>
          </w:tcPr>
          <w:p w14:paraId="32E00559" w14:textId="32CB68B1" w:rsidR="00185E9B"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Tiếp thu và đã bổ sung các cơ sở đề xuất tại bản thuyết minh, dự thảo Nghị định</w:t>
            </w:r>
          </w:p>
        </w:tc>
      </w:tr>
      <w:tr w:rsidR="00185E9B" w:rsidRPr="00642DF1" w14:paraId="204A77BF" w14:textId="77777777" w:rsidTr="00F5486C">
        <w:trPr>
          <w:jc w:val="center"/>
        </w:trPr>
        <w:tc>
          <w:tcPr>
            <w:tcW w:w="1696" w:type="dxa"/>
          </w:tcPr>
          <w:p w14:paraId="4BC10BF8" w14:textId="7777777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47F504F5" w14:textId="4A3EAFB7" w:rsidR="00185E9B" w:rsidRPr="00642DF1" w:rsidRDefault="00185E9B" w:rsidP="00185E9B">
            <w:pPr>
              <w:spacing w:after="120"/>
              <w:jc w:val="both"/>
              <w:rPr>
                <w:rFonts w:ascii="Times New Roman" w:hAnsi="Times New Roman" w:cs="Times New Roman"/>
                <w:spacing w:val="-6"/>
                <w:sz w:val="24"/>
                <w:szCs w:val="24"/>
                <w:lang w:val="pt-BR"/>
              </w:rPr>
            </w:pPr>
            <w:r w:rsidRPr="00642DF1">
              <w:rPr>
                <w:rFonts w:ascii="Times New Roman" w:hAnsi="Times New Roman" w:cs="Times New Roman"/>
                <w:spacing w:val="-6"/>
                <w:sz w:val="24"/>
                <w:szCs w:val="24"/>
                <w:lang w:val="pt-BR"/>
              </w:rPr>
              <w:t>Bộ Nội vụ</w:t>
            </w:r>
          </w:p>
        </w:tc>
        <w:tc>
          <w:tcPr>
            <w:tcW w:w="5953" w:type="dxa"/>
          </w:tcPr>
          <w:p w14:paraId="1DCBF902" w14:textId="44AC7F40" w:rsidR="00185E9B" w:rsidRPr="00642DF1" w:rsidRDefault="00185E9B" w:rsidP="00185E9B">
            <w:pPr>
              <w:spacing w:after="120"/>
              <w:jc w:val="both"/>
              <w:rPr>
                <w:rFonts w:ascii="Times New Roman" w:hAnsi="Times New Roman" w:cs="Times New Roman"/>
                <w:sz w:val="24"/>
                <w:szCs w:val="24"/>
              </w:rPr>
            </w:pPr>
            <w:r w:rsidRPr="00642DF1">
              <w:rPr>
                <w:rFonts w:ascii="Times New Roman" w:hAnsi="Times New Roman" w:cs="Times New Roman"/>
                <w:sz w:val="24"/>
                <w:szCs w:val="24"/>
              </w:rPr>
              <w:t xml:space="preserve">Hiện nay, các chế độ phụ cấp được thực hiện theo quy định tại Nghị định số 204/2004/NĐ-CP và các Thông tư hướng dẫn (trong đó có phụ cấp trách nhiệm công việc, phụ cấp lưu động)1. Vì vậy, đề nghị Bộ Giáo dục và Đào tạo căn cứ các văn bản quy phạm pháp luật nêu trên để thực hiện chế độ phụ cấp đối với nhà giáo. Trường hợp bổ sung đối tượng hưởng phụ cấp, đề nghị thực hiện theo quy trình được quy định tại các Thông tư hướng dẫn; đồng thời không quy định lại các nội dung đã có tại các văn bản quy phạm pháp luật khác để tránh trùng lặp (phụ cấp nặng nhọc, độc hại, nguy hiểm đã được quy định tại Nghị định số 113/2015/NĐ CP ngày 09/11/2015 của Chính phủ về phụ cấp đặc thù, phụ cấp ưu đãi, phụ cấp trách nhiệm công việc và phụ cấp nặng nhọc, độc hại, nguy hiểm đối với nhà giáo trong các cơ sở giáo dục nghề nghiệp công lập). </w:t>
            </w:r>
          </w:p>
        </w:tc>
        <w:tc>
          <w:tcPr>
            <w:tcW w:w="5528" w:type="dxa"/>
          </w:tcPr>
          <w:p w14:paraId="1F9EA6F2" w14:textId="77777777" w:rsidR="00F5486C" w:rsidRPr="00F5486C" w:rsidRDefault="00F5486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F5486C">
              <w:rPr>
                <w:rFonts w:ascii="Times New Roman" w:hAnsi="Times New Roman" w:cs="Times New Roman"/>
                <w:spacing w:val="-6"/>
                <w:sz w:val="24"/>
                <w:szCs w:val="24"/>
                <w:lang w:val="pt-BR"/>
              </w:rPr>
              <w:t>Đề nghị bảo lưu</w:t>
            </w:r>
          </w:p>
          <w:p w14:paraId="360EB0D4" w14:textId="77777777" w:rsidR="00F5486C" w:rsidRPr="00F5486C" w:rsidRDefault="00F5486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F5486C">
              <w:rPr>
                <w:rFonts w:ascii="Times New Roman" w:hAnsi="Times New Roman" w:cs="Times New Roman"/>
                <w:spacing w:val="-6"/>
                <w:sz w:val="24"/>
                <w:szCs w:val="24"/>
                <w:lang w:val="pt-BR"/>
              </w:rPr>
              <w:t>Các nội dung chuyển sang quy định tại Nghị định này (như Nghị định 61, Nghị định 113) đã được bãi bỏ theo quy định để tránh chồng chéo.</w:t>
            </w:r>
          </w:p>
          <w:p w14:paraId="351C7893" w14:textId="67DDB453" w:rsidR="00F5486C" w:rsidRPr="00F5486C" w:rsidRDefault="00F5486C"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sidRPr="00F5486C">
              <w:rPr>
                <w:rFonts w:ascii="Times New Roman" w:hAnsi="Times New Roman" w:cs="Times New Roman"/>
                <w:spacing w:val="-6"/>
                <w:sz w:val="24"/>
                <w:szCs w:val="24"/>
                <w:lang w:val="pt-BR"/>
              </w:rPr>
              <w:t xml:space="preserve">Đối với việc đề xuất đối tượng hưởng phụ cấp trách nhiệm công việc và phụ cấp lưu động tại Nghị định này là bảo đảm tuân thủ quy định tại </w:t>
            </w:r>
            <w:r w:rsidRPr="00F5486C">
              <w:rPr>
                <w:rFonts w:ascii="Times New Roman" w:hAnsi="Times New Roman" w:cs="Times New Roman"/>
                <w:spacing w:val="3"/>
                <w:sz w:val="23"/>
                <w:szCs w:val="23"/>
                <w:shd w:val="clear" w:color="auto" w:fill="FFFFFF"/>
              </w:rPr>
              <w:t>điểm b khoản 1 Điều 14 Luật ban hành văn bản quy phạm pháp luật số 64/2025/QH15. Theo đó: Chính phủ ban hành nghị định để quy định: những vấn đề liên quan đến nhiệm vụ, quyền hạn của từ 02 Bộ, cơ quan ngang Bộ trở lên.</w:t>
            </w:r>
            <w:r>
              <w:rPr>
                <w:rFonts w:ascii="Times New Roman" w:hAnsi="Times New Roman" w:cs="Times New Roman"/>
                <w:spacing w:val="3"/>
                <w:sz w:val="23"/>
                <w:szCs w:val="23"/>
                <w:shd w:val="clear" w:color="auto" w:fill="FFFFFF"/>
              </w:rPr>
              <w:t xml:space="preserve"> (Bộ Nội vụ có thẩm quyền quy định chế độ phụ cấp trách nhiệm công việc, phụ cấp lưu động; Bộ GDĐT có thẩm quyền tham mưu điều chỉnh các quy định còn vướng mắc theo Kết luận 83).</w:t>
            </w:r>
          </w:p>
        </w:tc>
      </w:tr>
      <w:tr w:rsidR="00185E9B" w:rsidRPr="00642DF1" w14:paraId="09908C05" w14:textId="77777777" w:rsidTr="00F5486C">
        <w:trPr>
          <w:jc w:val="center"/>
        </w:trPr>
        <w:tc>
          <w:tcPr>
            <w:tcW w:w="1696" w:type="dxa"/>
          </w:tcPr>
          <w:p w14:paraId="5E389E66" w14:textId="5DC5BC4D" w:rsidR="00185E9B" w:rsidRPr="00093E6E" w:rsidRDefault="00185E9B" w:rsidP="00185E9B">
            <w:pPr>
              <w:spacing w:after="120"/>
              <w:jc w:val="both"/>
              <w:rPr>
                <w:rFonts w:ascii="Times New Roman" w:hAnsi="Times New Roman" w:cs="Times New Roman"/>
                <w:b/>
                <w:spacing w:val="-8"/>
                <w:sz w:val="24"/>
                <w:szCs w:val="24"/>
              </w:rPr>
            </w:pPr>
            <w:r w:rsidRPr="00093E6E">
              <w:rPr>
                <w:rFonts w:ascii="Times New Roman" w:hAnsi="Times New Roman" w:cs="Times New Roman"/>
                <w:b/>
                <w:spacing w:val="-8"/>
                <w:sz w:val="24"/>
                <w:szCs w:val="24"/>
              </w:rPr>
              <w:t>Điều khoản chuyển tiếp</w:t>
            </w:r>
          </w:p>
        </w:tc>
        <w:tc>
          <w:tcPr>
            <w:tcW w:w="1560" w:type="dxa"/>
          </w:tcPr>
          <w:p w14:paraId="3D218765" w14:textId="22871A63" w:rsidR="00185E9B" w:rsidRPr="00642DF1" w:rsidRDefault="00185E9B" w:rsidP="00185E9B">
            <w:pPr>
              <w:spacing w:after="120"/>
              <w:jc w:val="both"/>
              <w:rPr>
                <w:rFonts w:ascii="Times New Roman" w:hAnsi="Times New Roman" w:cs="Times New Roman"/>
                <w:b/>
                <w:sz w:val="24"/>
                <w:szCs w:val="24"/>
              </w:rPr>
            </w:pPr>
            <w:r w:rsidRPr="00642DF1">
              <w:rPr>
                <w:rFonts w:ascii="Times New Roman" w:hAnsi="Times New Roman" w:cs="Times New Roman"/>
                <w:spacing w:val="-6"/>
                <w:sz w:val="24"/>
                <w:szCs w:val="24"/>
                <w:lang w:val="pt-BR"/>
              </w:rPr>
              <w:t>Mặt trận Tổ quốc VN</w:t>
            </w:r>
          </w:p>
        </w:tc>
        <w:tc>
          <w:tcPr>
            <w:tcW w:w="5953" w:type="dxa"/>
          </w:tcPr>
          <w:p w14:paraId="4A540D73" w14:textId="2459AE88" w:rsidR="00185E9B" w:rsidRPr="00642DF1" w:rsidRDefault="00185E9B" w:rsidP="00185E9B">
            <w:pPr>
              <w:spacing w:after="120"/>
              <w:jc w:val="both"/>
              <w:rPr>
                <w:rFonts w:ascii="Times New Roman" w:hAnsi="Times New Roman" w:cs="Times New Roman"/>
                <w:spacing w:val="-8"/>
                <w:sz w:val="24"/>
                <w:szCs w:val="24"/>
              </w:rPr>
            </w:pPr>
            <w:r w:rsidRPr="00642DF1">
              <w:rPr>
                <w:rFonts w:ascii="Times New Roman" w:hAnsi="Times New Roman" w:cs="Times New Roman"/>
                <w:spacing w:val="-8"/>
                <w:sz w:val="24"/>
                <w:szCs w:val="24"/>
              </w:rPr>
              <w:t>Cần bổ sung điều khoản chuyển tiếp (ví dụ: quy định rõ cách chuyển xếp lương cũ sang hệ thống mới, thời điểm áp dụng, xử lý chênh lệch tạm thời)</w:t>
            </w:r>
          </w:p>
        </w:tc>
        <w:tc>
          <w:tcPr>
            <w:tcW w:w="5528" w:type="dxa"/>
          </w:tcPr>
          <w:p w14:paraId="5E7174DB" w14:textId="77777777" w:rsidR="00185E9B"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Đề nghị bảo lưu</w:t>
            </w:r>
          </w:p>
          <w:p w14:paraId="1594D3DD" w14:textId="69BC6014" w:rsidR="00B01EF9" w:rsidRPr="00642DF1" w:rsidRDefault="00B01EF9" w:rsidP="00185E9B">
            <w:pPr>
              <w:tabs>
                <w:tab w:val="left" w:leader="dot" w:pos="9072"/>
                <w:tab w:val="center" w:leader="dot" w:pos="14572"/>
              </w:tabs>
              <w:spacing w:after="120"/>
              <w:jc w:val="both"/>
              <w:rPr>
                <w:rFonts w:ascii="Times New Roman" w:hAnsi="Times New Roman" w:cs="Times New Roman"/>
                <w:spacing w:val="-6"/>
                <w:sz w:val="24"/>
                <w:szCs w:val="24"/>
                <w:lang w:val="pt-BR"/>
              </w:rPr>
            </w:pPr>
            <w:r>
              <w:rPr>
                <w:rFonts w:ascii="Times New Roman" w:hAnsi="Times New Roman" w:cs="Times New Roman"/>
                <w:spacing w:val="-6"/>
                <w:sz w:val="24"/>
                <w:szCs w:val="24"/>
                <w:lang w:val="pt-BR"/>
              </w:rPr>
              <w:t>Nghị định đã giao cho Bộ trưởng Bộ GDĐT quy định cụ thể về việc bổ nhiệm, xếp lương để bảo đảm đồng nhất về thẩm quyền quy định hiện nay theo Luật Viên chức.</w:t>
            </w:r>
          </w:p>
        </w:tc>
      </w:tr>
      <w:tr w:rsidR="00185E9B" w:rsidRPr="00642DF1" w14:paraId="7A659A25" w14:textId="77777777" w:rsidTr="00F5486C">
        <w:trPr>
          <w:jc w:val="center"/>
        </w:trPr>
        <w:tc>
          <w:tcPr>
            <w:tcW w:w="1696" w:type="dxa"/>
          </w:tcPr>
          <w:p w14:paraId="4CB15C04" w14:textId="6F761D87" w:rsidR="00185E9B" w:rsidRPr="00093E6E" w:rsidRDefault="00185E9B" w:rsidP="00185E9B">
            <w:pPr>
              <w:spacing w:after="120"/>
              <w:jc w:val="both"/>
              <w:rPr>
                <w:rFonts w:ascii="Times New Roman" w:hAnsi="Times New Roman" w:cs="Times New Roman"/>
                <w:b/>
                <w:spacing w:val="-8"/>
                <w:sz w:val="24"/>
                <w:szCs w:val="24"/>
              </w:rPr>
            </w:pPr>
          </w:p>
        </w:tc>
        <w:tc>
          <w:tcPr>
            <w:tcW w:w="1560" w:type="dxa"/>
          </w:tcPr>
          <w:p w14:paraId="4B23D148" w14:textId="626C4A95" w:rsidR="00185E9B" w:rsidRPr="00642DF1" w:rsidRDefault="00185E9B" w:rsidP="00185E9B">
            <w:pPr>
              <w:spacing w:after="120"/>
              <w:jc w:val="both"/>
              <w:rPr>
                <w:rFonts w:ascii="Times New Roman" w:hAnsi="Times New Roman" w:cs="Times New Roman"/>
                <w:b/>
                <w:sz w:val="24"/>
                <w:szCs w:val="24"/>
              </w:rPr>
            </w:pPr>
          </w:p>
        </w:tc>
        <w:tc>
          <w:tcPr>
            <w:tcW w:w="5953" w:type="dxa"/>
          </w:tcPr>
          <w:p w14:paraId="38208A1A" w14:textId="392BDA8E" w:rsidR="00185E9B" w:rsidRPr="00642DF1" w:rsidRDefault="00185E9B" w:rsidP="00185E9B">
            <w:pPr>
              <w:spacing w:after="120"/>
              <w:jc w:val="both"/>
              <w:rPr>
                <w:rFonts w:ascii="Times New Roman" w:hAnsi="Times New Roman" w:cs="Times New Roman"/>
                <w:spacing w:val="-8"/>
                <w:sz w:val="24"/>
                <w:szCs w:val="24"/>
              </w:rPr>
            </w:pPr>
          </w:p>
        </w:tc>
        <w:tc>
          <w:tcPr>
            <w:tcW w:w="5528" w:type="dxa"/>
          </w:tcPr>
          <w:p w14:paraId="535EE435" w14:textId="77777777" w:rsidR="00185E9B" w:rsidRPr="00642DF1" w:rsidRDefault="00185E9B" w:rsidP="00185E9B">
            <w:pPr>
              <w:tabs>
                <w:tab w:val="left" w:leader="dot" w:pos="9072"/>
                <w:tab w:val="center" w:leader="dot" w:pos="14572"/>
              </w:tabs>
              <w:spacing w:after="120"/>
              <w:jc w:val="both"/>
              <w:rPr>
                <w:rFonts w:ascii="Times New Roman" w:hAnsi="Times New Roman" w:cs="Times New Roman"/>
                <w:spacing w:val="-6"/>
                <w:sz w:val="24"/>
                <w:szCs w:val="24"/>
                <w:lang w:val="pt-BR"/>
              </w:rPr>
            </w:pPr>
          </w:p>
        </w:tc>
      </w:tr>
    </w:tbl>
    <w:p w14:paraId="5771EADD" w14:textId="77777777" w:rsidR="00385B2F" w:rsidRDefault="00385B2F" w:rsidP="00F771BD">
      <w:pPr>
        <w:spacing w:after="0"/>
        <w:jc w:val="both"/>
        <w:rPr>
          <w:rFonts w:ascii="Times New Roman" w:hAnsi="Times New Roman" w:cs="Times New Roman"/>
          <w:sz w:val="28"/>
          <w:szCs w:val="28"/>
        </w:rPr>
      </w:pPr>
    </w:p>
    <w:sectPr w:rsidR="00385B2F" w:rsidSect="00642DF1">
      <w:pgSz w:w="16840" w:h="11907" w:orient="landscape" w:code="9"/>
      <w:pgMar w:top="1134" w:right="1134" w:bottom="1134" w:left="1701"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E73D7" w14:textId="77777777" w:rsidR="003318D2" w:rsidRDefault="003318D2" w:rsidP="003473D0">
      <w:pPr>
        <w:spacing w:after="0" w:line="240" w:lineRule="auto"/>
      </w:pPr>
      <w:r>
        <w:separator/>
      </w:r>
    </w:p>
  </w:endnote>
  <w:endnote w:type="continuationSeparator" w:id="0">
    <w:p w14:paraId="05790F59" w14:textId="77777777" w:rsidR="003318D2" w:rsidRDefault="003318D2" w:rsidP="003473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3" w:usb1="08070000" w:usb2="00000010" w:usb3="00000000" w:csb0="0002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4179B" w14:textId="77777777" w:rsidR="003318D2" w:rsidRDefault="003318D2" w:rsidP="003473D0">
      <w:pPr>
        <w:spacing w:after="0" w:line="240" w:lineRule="auto"/>
      </w:pPr>
      <w:r>
        <w:separator/>
      </w:r>
    </w:p>
  </w:footnote>
  <w:footnote w:type="continuationSeparator" w:id="0">
    <w:p w14:paraId="7D5F6FEF" w14:textId="77777777" w:rsidR="003318D2" w:rsidRDefault="003318D2" w:rsidP="003473D0">
      <w:pPr>
        <w:spacing w:after="0" w:line="240" w:lineRule="auto"/>
      </w:pPr>
      <w:r>
        <w:continuationSeparator/>
      </w:r>
    </w:p>
  </w:footnote>
  <w:footnote w:id="1">
    <w:p w14:paraId="3512AB11" w14:textId="77777777" w:rsidR="00B01EF9" w:rsidRPr="0014118A" w:rsidRDefault="00B01EF9" w:rsidP="000C0219">
      <w:pPr>
        <w:pStyle w:val="FootnoteText"/>
        <w:jc w:val="both"/>
      </w:pPr>
      <w:r>
        <w:rPr>
          <w:rStyle w:val="FootnoteReference"/>
        </w:rPr>
        <w:footnoteRef/>
      </w:r>
      <w:r>
        <w:t xml:space="preserve"> Như: Tờ trình; </w:t>
      </w:r>
      <w:r w:rsidRPr="00911920">
        <w:t xml:space="preserve">Báo cáo tổng kết việc thi hành pháp luật hoặc đánh giá thực trạng quan hệ xã hội liên quan đến dự thảo đối với trường hợp ban hành văn bản quy định tại điểm b và điểm c khoản 1 Điều 14 của Luật, kèm phụ lục rà soát các chủ trương, đường lối của Đảng, văn bản quy phạm pháp luật, </w:t>
      </w:r>
      <w:r>
        <w:t>điều</w:t>
      </w:r>
      <w:r w:rsidRPr="00911920">
        <w:t xml:space="preserve"> ước quốc tế có liên quan; </w:t>
      </w:r>
      <w:r w:rsidRPr="007C6A1D">
        <w:t>Báo cáo đánh giá tác động của chính sách trong dự thảo trong trường hợp soạn thảo văn bản quy định tại điểm c khoản 1 Điều 14 của Luật</w:t>
      </w:r>
      <w:r>
        <w:t>.</w:t>
      </w:r>
    </w:p>
  </w:footnote>
  <w:footnote w:id="2">
    <w:p w14:paraId="7E053C99" w14:textId="77777777" w:rsidR="00B01EF9" w:rsidRDefault="00B01EF9" w:rsidP="000C0219">
      <w:pPr>
        <w:pStyle w:val="FootnoteText"/>
        <w:jc w:val="both"/>
      </w:pPr>
      <w:r>
        <w:rPr>
          <w:rStyle w:val="FootnoteReference"/>
        </w:rPr>
        <w:footnoteRef/>
      </w:r>
      <w:r>
        <w:t xml:space="preserve"> </w:t>
      </w:r>
      <w:r w:rsidRPr="000832F4">
        <w:t>Báo cáo số 55/BC-CP ngày 16/10/2025 về đánh giá tình hình thực hiện NSNN năm 2025 và dự toán NSNN năm 2026 và Báo cáo số 58/BC-CP ngày 16/10/2025 về tình hình, kết quả thực hiện kế hoạch tài chính 05 năm quốc gia giai đoạn 2021-2025 và định hướng kế hoạch tài chính 05 năm quốc gia giai đoạn 2026-2030</w:t>
      </w:r>
      <w:r>
        <w:t>.</w:t>
      </w:r>
    </w:p>
  </w:footnote>
  <w:footnote w:id="3">
    <w:p w14:paraId="0BBB4905" w14:textId="77777777" w:rsidR="00B01EF9" w:rsidRDefault="00B01EF9" w:rsidP="004D1D50">
      <w:pPr>
        <w:pStyle w:val="FootnoteText"/>
      </w:pPr>
      <w:r>
        <w:rPr>
          <w:rStyle w:val="FootnoteReference"/>
        </w:rPr>
        <w:footnoteRef/>
      </w:r>
      <w:r>
        <w:t xml:space="preserve"> </w:t>
      </w:r>
      <w:r>
        <w:rPr>
          <w:rFonts w:cs="Times New Roman"/>
          <w:szCs w:val="28"/>
        </w:rPr>
        <w:t xml:space="preserve">Như y tế (bác sĩ, dược sĩ), xây dựng (kiến trúc sư, thẩm kế viên), giao thông vận tải (kỹ thuật viên đường bộ, quản lý, bảo trì công trình), tư pháp (lý lịch viên), văn hóa – thể thao (đạo diễn, diễn viên, họa sĩ, huấn luyện viên), khoa học công nghệ (nghiên cứu viên, kỹ sư), thông tin truyền thông (phóng viên, biên dịch viên, đạo diễn truyền hình)...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3C41"/>
    <w:multiLevelType w:val="hybridMultilevel"/>
    <w:tmpl w:val="B296A8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A04BE"/>
    <w:multiLevelType w:val="hybridMultilevel"/>
    <w:tmpl w:val="6D6C63AA"/>
    <w:lvl w:ilvl="0" w:tplc="87703AFE">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2EC4E95"/>
    <w:multiLevelType w:val="hybridMultilevel"/>
    <w:tmpl w:val="574C72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63573"/>
    <w:multiLevelType w:val="multilevel"/>
    <w:tmpl w:val="9782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515FBD"/>
    <w:multiLevelType w:val="multilevel"/>
    <w:tmpl w:val="BB22BBA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15:restartNumberingAfterBreak="0">
    <w:nsid w:val="688803CB"/>
    <w:multiLevelType w:val="hybridMultilevel"/>
    <w:tmpl w:val="66508C2C"/>
    <w:lvl w:ilvl="0" w:tplc="5958F5E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4507BA2"/>
    <w:multiLevelType w:val="hybridMultilevel"/>
    <w:tmpl w:val="B9DA82CC"/>
    <w:lvl w:ilvl="0" w:tplc="C832D0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E4057E"/>
    <w:multiLevelType w:val="hybridMultilevel"/>
    <w:tmpl w:val="819841E0"/>
    <w:lvl w:ilvl="0" w:tplc="BEDA27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4"/>
  </w:num>
  <w:num w:numId="5">
    <w:abstractNumId w:val="2"/>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drawingGridHorizontalSpacing w:val="11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E17"/>
    <w:rsid w:val="00004589"/>
    <w:rsid w:val="0001280F"/>
    <w:rsid w:val="000128B0"/>
    <w:rsid w:val="00012C24"/>
    <w:rsid w:val="000151E5"/>
    <w:rsid w:val="00016CB4"/>
    <w:rsid w:val="00026F8C"/>
    <w:rsid w:val="000304A5"/>
    <w:rsid w:val="00033718"/>
    <w:rsid w:val="000343F0"/>
    <w:rsid w:val="00041A20"/>
    <w:rsid w:val="00044355"/>
    <w:rsid w:val="00044CCA"/>
    <w:rsid w:val="00047F0B"/>
    <w:rsid w:val="000503F7"/>
    <w:rsid w:val="00051BB7"/>
    <w:rsid w:val="000528C4"/>
    <w:rsid w:val="00053BA4"/>
    <w:rsid w:val="000547FF"/>
    <w:rsid w:val="00055AA5"/>
    <w:rsid w:val="00057DE2"/>
    <w:rsid w:val="00061581"/>
    <w:rsid w:val="00063988"/>
    <w:rsid w:val="00063B8D"/>
    <w:rsid w:val="00066C0A"/>
    <w:rsid w:val="00070E41"/>
    <w:rsid w:val="000723F9"/>
    <w:rsid w:val="00074321"/>
    <w:rsid w:val="00074E33"/>
    <w:rsid w:val="000754ED"/>
    <w:rsid w:val="00075A17"/>
    <w:rsid w:val="0007650A"/>
    <w:rsid w:val="000822A1"/>
    <w:rsid w:val="000828CD"/>
    <w:rsid w:val="00082926"/>
    <w:rsid w:val="000829F4"/>
    <w:rsid w:val="000832A9"/>
    <w:rsid w:val="00083DEF"/>
    <w:rsid w:val="000846B6"/>
    <w:rsid w:val="00085F21"/>
    <w:rsid w:val="00087A9B"/>
    <w:rsid w:val="00091D92"/>
    <w:rsid w:val="00093E6E"/>
    <w:rsid w:val="00094772"/>
    <w:rsid w:val="00096DAF"/>
    <w:rsid w:val="00097E2E"/>
    <w:rsid w:val="000A0ABA"/>
    <w:rsid w:val="000A510D"/>
    <w:rsid w:val="000A5A01"/>
    <w:rsid w:val="000A5AC9"/>
    <w:rsid w:val="000A743C"/>
    <w:rsid w:val="000A7F20"/>
    <w:rsid w:val="000B32C4"/>
    <w:rsid w:val="000B3A08"/>
    <w:rsid w:val="000B44A6"/>
    <w:rsid w:val="000B58DA"/>
    <w:rsid w:val="000C0219"/>
    <w:rsid w:val="000C0F37"/>
    <w:rsid w:val="000C40AC"/>
    <w:rsid w:val="000D07D7"/>
    <w:rsid w:val="000D09AE"/>
    <w:rsid w:val="000D1323"/>
    <w:rsid w:val="000D7354"/>
    <w:rsid w:val="000E4D8A"/>
    <w:rsid w:val="000E58C4"/>
    <w:rsid w:val="000F3928"/>
    <w:rsid w:val="000F671C"/>
    <w:rsid w:val="00100B2F"/>
    <w:rsid w:val="00103E77"/>
    <w:rsid w:val="00105B7C"/>
    <w:rsid w:val="00106065"/>
    <w:rsid w:val="0011144D"/>
    <w:rsid w:val="00111C31"/>
    <w:rsid w:val="00112A5D"/>
    <w:rsid w:val="001133BF"/>
    <w:rsid w:val="00114E6C"/>
    <w:rsid w:val="0011575D"/>
    <w:rsid w:val="00120421"/>
    <w:rsid w:val="0012081A"/>
    <w:rsid w:val="001211D3"/>
    <w:rsid w:val="00122694"/>
    <w:rsid w:val="0012284B"/>
    <w:rsid w:val="00125EDC"/>
    <w:rsid w:val="00131915"/>
    <w:rsid w:val="00132744"/>
    <w:rsid w:val="001411DA"/>
    <w:rsid w:val="00141D25"/>
    <w:rsid w:val="00145F36"/>
    <w:rsid w:val="00153C9A"/>
    <w:rsid w:val="0015501C"/>
    <w:rsid w:val="00156256"/>
    <w:rsid w:val="001568E5"/>
    <w:rsid w:val="001601FB"/>
    <w:rsid w:val="0016232D"/>
    <w:rsid w:val="00162807"/>
    <w:rsid w:val="00164620"/>
    <w:rsid w:val="00167300"/>
    <w:rsid w:val="00171629"/>
    <w:rsid w:val="0017240F"/>
    <w:rsid w:val="0017278C"/>
    <w:rsid w:val="0017583F"/>
    <w:rsid w:val="00181550"/>
    <w:rsid w:val="0018166B"/>
    <w:rsid w:val="00183FCB"/>
    <w:rsid w:val="001852A4"/>
    <w:rsid w:val="00185E9B"/>
    <w:rsid w:val="00186FFD"/>
    <w:rsid w:val="001907B1"/>
    <w:rsid w:val="00193037"/>
    <w:rsid w:val="00193A69"/>
    <w:rsid w:val="001A194C"/>
    <w:rsid w:val="001A294C"/>
    <w:rsid w:val="001A32C7"/>
    <w:rsid w:val="001A6F70"/>
    <w:rsid w:val="001B17FB"/>
    <w:rsid w:val="001B1860"/>
    <w:rsid w:val="001B561C"/>
    <w:rsid w:val="001B6B9E"/>
    <w:rsid w:val="001C235B"/>
    <w:rsid w:val="001C2400"/>
    <w:rsid w:val="001C2FB0"/>
    <w:rsid w:val="001C44FC"/>
    <w:rsid w:val="001D01A2"/>
    <w:rsid w:val="001D1865"/>
    <w:rsid w:val="001D27B7"/>
    <w:rsid w:val="001D35A0"/>
    <w:rsid w:val="001D3679"/>
    <w:rsid w:val="001D5815"/>
    <w:rsid w:val="001D5BD9"/>
    <w:rsid w:val="001D78C9"/>
    <w:rsid w:val="001E219F"/>
    <w:rsid w:val="001E4DA5"/>
    <w:rsid w:val="001E4F37"/>
    <w:rsid w:val="001E6E24"/>
    <w:rsid w:val="001E7534"/>
    <w:rsid w:val="001F1D99"/>
    <w:rsid w:val="001F3966"/>
    <w:rsid w:val="001F505C"/>
    <w:rsid w:val="00201A30"/>
    <w:rsid w:val="002038FA"/>
    <w:rsid w:val="00205CCF"/>
    <w:rsid w:val="0021218C"/>
    <w:rsid w:val="00217647"/>
    <w:rsid w:val="00217C48"/>
    <w:rsid w:val="00220122"/>
    <w:rsid w:val="002242FB"/>
    <w:rsid w:val="00234644"/>
    <w:rsid w:val="00236FC3"/>
    <w:rsid w:val="00237516"/>
    <w:rsid w:val="00241403"/>
    <w:rsid w:val="00241833"/>
    <w:rsid w:val="00241D84"/>
    <w:rsid w:val="00243658"/>
    <w:rsid w:val="00243C36"/>
    <w:rsid w:val="00244638"/>
    <w:rsid w:val="002450AB"/>
    <w:rsid w:val="00253E48"/>
    <w:rsid w:val="002554A5"/>
    <w:rsid w:val="002605C7"/>
    <w:rsid w:val="00260E7E"/>
    <w:rsid w:val="002623AF"/>
    <w:rsid w:val="002629B9"/>
    <w:rsid w:val="002631F7"/>
    <w:rsid w:val="0026423E"/>
    <w:rsid w:val="0026494D"/>
    <w:rsid w:val="00265AAD"/>
    <w:rsid w:val="00266175"/>
    <w:rsid w:val="00272F81"/>
    <w:rsid w:val="00273A86"/>
    <w:rsid w:val="00273FD2"/>
    <w:rsid w:val="002745C2"/>
    <w:rsid w:val="00275E02"/>
    <w:rsid w:val="0028064A"/>
    <w:rsid w:val="00282149"/>
    <w:rsid w:val="00283679"/>
    <w:rsid w:val="002877B2"/>
    <w:rsid w:val="00291A89"/>
    <w:rsid w:val="00291C3B"/>
    <w:rsid w:val="00292F08"/>
    <w:rsid w:val="00293563"/>
    <w:rsid w:val="0029366B"/>
    <w:rsid w:val="00293F49"/>
    <w:rsid w:val="0029406B"/>
    <w:rsid w:val="00294F11"/>
    <w:rsid w:val="00295865"/>
    <w:rsid w:val="00297DB9"/>
    <w:rsid w:val="002A7E7B"/>
    <w:rsid w:val="002B03AA"/>
    <w:rsid w:val="002B045F"/>
    <w:rsid w:val="002B0482"/>
    <w:rsid w:val="002B0742"/>
    <w:rsid w:val="002B2AFE"/>
    <w:rsid w:val="002B50FA"/>
    <w:rsid w:val="002B6D89"/>
    <w:rsid w:val="002C041F"/>
    <w:rsid w:val="002C466E"/>
    <w:rsid w:val="002C4B5C"/>
    <w:rsid w:val="002C5CD2"/>
    <w:rsid w:val="002C651F"/>
    <w:rsid w:val="002C695C"/>
    <w:rsid w:val="002D03C4"/>
    <w:rsid w:val="002D285D"/>
    <w:rsid w:val="002D2BE9"/>
    <w:rsid w:val="002D3AF1"/>
    <w:rsid w:val="002D442C"/>
    <w:rsid w:val="002D5393"/>
    <w:rsid w:val="002D6171"/>
    <w:rsid w:val="002D6F09"/>
    <w:rsid w:val="002D7770"/>
    <w:rsid w:val="002D777D"/>
    <w:rsid w:val="002E1005"/>
    <w:rsid w:val="002E4107"/>
    <w:rsid w:val="002E4A1A"/>
    <w:rsid w:val="002E5A7A"/>
    <w:rsid w:val="002F055A"/>
    <w:rsid w:val="002F0A63"/>
    <w:rsid w:val="002F6167"/>
    <w:rsid w:val="00300BB6"/>
    <w:rsid w:val="00300C27"/>
    <w:rsid w:val="00301E19"/>
    <w:rsid w:val="00303263"/>
    <w:rsid w:val="00303BD6"/>
    <w:rsid w:val="00310BF0"/>
    <w:rsid w:val="003111FB"/>
    <w:rsid w:val="00311840"/>
    <w:rsid w:val="003123D1"/>
    <w:rsid w:val="0031288F"/>
    <w:rsid w:val="00315737"/>
    <w:rsid w:val="00316905"/>
    <w:rsid w:val="003174AD"/>
    <w:rsid w:val="003179D6"/>
    <w:rsid w:val="00321EB5"/>
    <w:rsid w:val="00323D86"/>
    <w:rsid w:val="00325ED5"/>
    <w:rsid w:val="00331378"/>
    <w:rsid w:val="003318D2"/>
    <w:rsid w:val="00332E1D"/>
    <w:rsid w:val="00335BF7"/>
    <w:rsid w:val="00335E17"/>
    <w:rsid w:val="003371E1"/>
    <w:rsid w:val="0034014B"/>
    <w:rsid w:val="0034065A"/>
    <w:rsid w:val="003420CB"/>
    <w:rsid w:val="00342438"/>
    <w:rsid w:val="003430DC"/>
    <w:rsid w:val="00343C56"/>
    <w:rsid w:val="00346E78"/>
    <w:rsid w:val="0034735F"/>
    <w:rsid w:val="003473D0"/>
    <w:rsid w:val="00351C23"/>
    <w:rsid w:val="0035292F"/>
    <w:rsid w:val="00353B1D"/>
    <w:rsid w:val="00354B85"/>
    <w:rsid w:val="00355A92"/>
    <w:rsid w:val="00360A66"/>
    <w:rsid w:val="003613A9"/>
    <w:rsid w:val="00362C56"/>
    <w:rsid w:val="003646EA"/>
    <w:rsid w:val="00366543"/>
    <w:rsid w:val="00372D2D"/>
    <w:rsid w:val="0037356F"/>
    <w:rsid w:val="003735A8"/>
    <w:rsid w:val="00373A58"/>
    <w:rsid w:val="00375A85"/>
    <w:rsid w:val="003829DC"/>
    <w:rsid w:val="00382BEA"/>
    <w:rsid w:val="003859A8"/>
    <w:rsid w:val="00385B2F"/>
    <w:rsid w:val="00391BB4"/>
    <w:rsid w:val="0039396F"/>
    <w:rsid w:val="00397AE5"/>
    <w:rsid w:val="003A0932"/>
    <w:rsid w:val="003A30DB"/>
    <w:rsid w:val="003A720E"/>
    <w:rsid w:val="003C4F17"/>
    <w:rsid w:val="003C6F75"/>
    <w:rsid w:val="003D11CC"/>
    <w:rsid w:val="003D332C"/>
    <w:rsid w:val="003D43BF"/>
    <w:rsid w:val="003D4961"/>
    <w:rsid w:val="003D534F"/>
    <w:rsid w:val="003D60AC"/>
    <w:rsid w:val="003D62B1"/>
    <w:rsid w:val="003D69C6"/>
    <w:rsid w:val="003E0169"/>
    <w:rsid w:val="003E054B"/>
    <w:rsid w:val="003E09B1"/>
    <w:rsid w:val="003E0DBD"/>
    <w:rsid w:val="003E0DD6"/>
    <w:rsid w:val="003E1411"/>
    <w:rsid w:val="003E575F"/>
    <w:rsid w:val="003E7F17"/>
    <w:rsid w:val="003F167E"/>
    <w:rsid w:val="003F2DE0"/>
    <w:rsid w:val="003F2E06"/>
    <w:rsid w:val="003F75C5"/>
    <w:rsid w:val="004006FC"/>
    <w:rsid w:val="00400FD5"/>
    <w:rsid w:val="00406F5E"/>
    <w:rsid w:val="004106E6"/>
    <w:rsid w:val="00411447"/>
    <w:rsid w:val="00411A4D"/>
    <w:rsid w:val="00416DD2"/>
    <w:rsid w:val="0042301D"/>
    <w:rsid w:val="0042326A"/>
    <w:rsid w:val="0042419B"/>
    <w:rsid w:val="00425338"/>
    <w:rsid w:val="00425C39"/>
    <w:rsid w:val="004276DD"/>
    <w:rsid w:val="00430307"/>
    <w:rsid w:val="00437B22"/>
    <w:rsid w:val="00442D47"/>
    <w:rsid w:val="0044345C"/>
    <w:rsid w:val="004464FC"/>
    <w:rsid w:val="004466F9"/>
    <w:rsid w:val="00446891"/>
    <w:rsid w:val="004473E0"/>
    <w:rsid w:val="0045058F"/>
    <w:rsid w:val="0045230B"/>
    <w:rsid w:val="004545A1"/>
    <w:rsid w:val="00455986"/>
    <w:rsid w:val="00456D14"/>
    <w:rsid w:val="00463EF3"/>
    <w:rsid w:val="00465B5C"/>
    <w:rsid w:val="00467BAC"/>
    <w:rsid w:val="00467CFF"/>
    <w:rsid w:val="00471B23"/>
    <w:rsid w:val="00473515"/>
    <w:rsid w:val="00477C28"/>
    <w:rsid w:val="00480135"/>
    <w:rsid w:val="00480201"/>
    <w:rsid w:val="00481749"/>
    <w:rsid w:val="00481FAB"/>
    <w:rsid w:val="004830EA"/>
    <w:rsid w:val="004845A1"/>
    <w:rsid w:val="00484CAD"/>
    <w:rsid w:val="00487414"/>
    <w:rsid w:val="00487FE3"/>
    <w:rsid w:val="00490641"/>
    <w:rsid w:val="00490EDD"/>
    <w:rsid w:val="00491744"/>
    <w:rsid w:val="00496984"/>
    <w:rsid w:val="004A0819"/>
    <w:rsid w:val="004A2B9A"/>
    <w:rsid w:val="004A4031"/>
    <w:rsid w:val="004A4A64"/>
    <w:rsid w:val="004B0EED"/>
    <w:rsid w:val="004B4957"/>
    <w:rsid w:val="004C0796"/>
    <w:rsid w:val="004C4DAD"/>
    <w:rsid w:val="004C50AE"/>
    <w:rsid w:val="004C7710"/>
    <w:rsid w:val="004D1710"/>
    <w:rsid w:val="004D1D50"/>
    <w:rsid w:val="004D3302"/>
    <w:rsid w:val="004D3ED2"/>
    <w:rsid w:val="004D4F9B"/>
    <w:rsid w:val="004D627A"/>
    <w:rsid w:val="004E111D"/>
    <w:rsid w:val="004E31D5"/>
    <w:rsid w:val="004E3793"/>
    <w:rsid w:val="004E3D48"/>
    <w:rsid w:val="004E4DDA"/>
    <w:rsid w:val="004F7946"/>
    <w:rsid w:val="0050022D"/>
    <w:rsid w:val="005065FA"/>
    <w:rsid w:val="00506DB4"/>
    <w:rsid w:val="00507523"/>
    <w:rsid w:val="005103BC"/>
    <w:rsid w:val="00513915"/>
    <w:rsid w:val="00533BC6"/>
    <w:rsid w:val="00533C8B"/>
    <w:rsid w:val="005368F9"/>
    <w:rsid w:val="00537281"/>
    <w:rsid w:val="00543939"/>
    <w:rsid w:val="0055067F"/>
    <w:rsid w:val="00556500"/>
    <w:rsid w:val="00560AC4"/>
    <w:rsid w:val="0056180B"/>
    <w:rsid w:val="00561D35"/>
    <w:rsid w:val="00562B6F"/>
    <w:rsid w:val="00564E82"/>
    <w:rsid w:val="00566ACE"/>
    <w:rsid w:val="00566ED8"/>
    <w:rsid w:val="00566EDB"/>
    <w:rsid w:val="00570E73"/>
    <w:rsid w:val="00573D04"/>
    <w:rsid w:val="0057404C"/>
    <w:rsid w:val="00575E51"/>
    <w:rsid w:val="005800A0"/>
    <w:rsid w:val="00580351"/>
    <w:rsid w:val="005826C6"/>
    <w:rsid w:val="005864BC"/>
    <w:rsid w:val="00591343"/>
    <w:rsid w:val="00594DA6"/>
    <w:rsid w:val="00595EBA"/>
    <w:rsid w:val="0059728C"/>
    <w:rsid w:val="005A3152"/>
    <w:rsid w:val="005A3350"/>
    <w:rsid w:val="005A3A91"/>
    <w:rsid w:val="005A70FD"/>
    <w:rsid w:val="005B1347"/>
    <w:rsid w:val="005B4150"/>
    <w:rsid w:val="005B4D91"/>
    <w:rsid w:val="005B6DEE"/>
    <w:rsid w:val="005B7508"/>
    <w:rsid w:val="005C0E01"/>
    <w:rsid w:val="005C3601"/>
    <w:rsid w:val="005C532C"/>
    <w:rsid w:val="005D40AA"/>
    <w:rsid w:val="005D5911"/>
    <w:rsid w:val="005D6234"/>
    <w:rsid w:val="005E0799"/>
    <w:rsid w:val="005E1E36"/>
    <w:rsid w:val="005F0A9F"/>
    <w:rsid w:val="005F18B4"/>
    <w:rsid w:val="00604C4D"/>
    <w:rsid w:val="00612F66"/>
    <w:rsid w:val="0061336B"/>
    <w:rsid w:val="00620E9D"/>
    <w:rsid w:val="0062124E"/>
    <w:rsid w:val="00621C2A"/>
    <w:rsid w:val="0062399A"/>
    <w:rsid w:val="00625321"/>
    <w:rsid w:val="006260D5"/>
    <w:rsid w:val="006306C2"/>
    <w:rsid w:val="006346B2"/>
    <w:rsid w:val="00636463"/>
    <w:rsid w:val="00637090"/>
    <w:rsid w:val="00637228"/>
    <w:rsid w:val="0064204F"/>
    <w:rsid w:val="006421F0"/>
    <w:rsid w:val="006424AD"/>
    <w:rsid w:val="00642DDD"/>
    <w:rsid w:val="00642DF1"/>
    <w:rsid w:val="00645BE4"/>
    <w:rsid w:val="00650E97"/>
    <w:rsid w:val="006513CF"/>
    <w:rsid w:val="00651F61"/>
    <w:rsid w:val="00652F27"/>
    <w:rsid w:val="00654562"/>
    <w:rsid w:val="0065674F"/>
    <w:rsid w:val="00657CC8"/>
    <w:rsid w:val="00660FED"/>
    <w:rsid w:val="00662259"/>
    <w:rsid w:val="00662F2F"/>
    <w:rsid w:val="00665CC3"/>
    <w:rsid w:val="00665D2A"/>
    <w:rsid w:val="00667747"/>
    <w:rsid w:val="00670FA0"/>
    <w:rsid w:val="00674326"/>
    <w:rsid w:val="00674609"/>
    <w:rsid w:val="0068088E"/>
    <w:rsid w:val="00684790"/>
    <w:rsid w:val="0068523F"/>
    <w:rsid w:val="00685678"/>
    <w:rsid w:val="00685DE3"/>
    <w:rsid w:val="0068605C"/>
    <w:rsid w:val="00690A15"/>
    <w:rsid w:val="00694412"/>
    <w:rsid w:val="00695359"/>
    <w:rsid w:val="006A0BA5"/>
    <w:rsid w:val="006B156A"/>
    <w:rsid w:val="006B6549"/>
    <w:rsid w:val="006C32E1"/>
    <w:rsid w:val="006C485C"/>
    <w:rsid w:val="006C795E"/>
    <w:rsid w:val="006C7B22"/>
    <w:rsid w:val="006D4133"/>
    <w:rsid w:val="006D5158"/>
    <w:rsid w:val="006D598B"/>
    <w:rsid w:val="006D5DE9"/>
    <w:rsid w:val="006D6450"/>
    <w:rsid w:val="006D71EB"/>
    <w:rsid w:val="006D78FD"/>
    <w:rsid w:val="006E261F"/>
    <w:rsid w:val="006E5788"/>
    <w:rsid w:val="006F2759"/>
    <w:rsid w:val="006F4652"/>
    <w:rsid w:val="006F6F37"/>
    <w:rsid w:val="006F7CB0"/>
    <w:rsid w:val="00701174"/>
    <w:rsid w:val="00703985"/>
    <w:rsid w:val="00714717"/>
    <w:rsid w:val="00720C37"/>
    <w:rsid w:val="00722C70"/>
    <w:rsid w:val="007244AD"/>
    <w:rsid w:val="00724DE2"/>
    <w:rsid w:val="00724E45"/>
    <w:rsid w:val="0072548F"/>
    <w:rsid w:val="00731D72"/>
    <w:rsid w:val="00733D6D"/>
    <w:rsid w:val="007350A7"/>
    <w:rsid w:val="00737857"/>
    <w:rsid w:val="00737DBB"/>
    <w:rsid w:val="007418F6"/>
    <w:rsid w:val="00742505"/>
    <w:rsid w:val="007451B1"/>
    <w:rsid w:val="007525BF"/>
    <w:rsid w:val="00755FA6"/>
    <w:rsid w:val="007713D9"/>
    <w:rsid w:val="0077241C"/>
    <w:rsid w:val="00772B65"/>
    <w:rsid w:val="007747E2"/>
    <w:rsid w:val="00775917"/>
    <w:rsid w:val="00777B8C"/>
    <w:rsid w:val="00780845"/>
    <w:rsid w:val="00781ACD"/>
    <w:rsid w:val="00782B3B"/>
    <w:rsid w:val="00786E98"/>
    <w:rsid w:val="00787123"/>
    <w:rsid w:val="00791C6A"/>
    <w:rsid w:val="00796362"/>
    <w:rsid w:val="00796546"/>
    <w:rsid w:val="00796C5C"/>
    <w:rsid w:val="007A0AEA"/>
    <w:rsid w:val="007A237B"/>
    <w:rsid w:val="007A45C6"/>
    <w:rsid w:val="007A6C50"/>
    <w:rsid w:val="007B284C"/>
    <w:rsid w:val="007B535E"/>
    <w:rsid w:val="007B5678"/>
    <w:rsid w:val="007B7707"/>
    <w:rsid w:val="007C0C07"/>
    <w:rsid w:val="007C139D"/>
    <w:rsid w:val="007C164C"/>
    <w:rsid w:val="007C2FC0"/>
    <w:rsid w:val="007C4C43"/>
    <w:rsid w:val="007C63A2"/>
    <w:rsid w:val="007C6DB1"/>
    <w:rsid w:val="007C7D73"/>
    <w:rsid w:val="007D1B54"/>
    <w:rsid w:val="007D286F"/>
    <w:rsid w:val="007D58F9"/>
    <w:rsid w:val="007E4629"/>
    <w:rsid w:val="007E6313"/>
    <w:rsid w:val="007E6EF5"/>
    <w:rsid w:val="007F5FC4"/>
    <w:rsid w:val="0080123E"/>
    <w:rsid w:val="008015F1"/>
    <w:rsid w:val="00803D87"/>
    <w:rsid w:val="00804719"/>
    <w:rsid w:val="00804D41"/>
    <w:rsid w:val="0081057A"/>
    <w:rsid w:val="008115C5"/>
    <w:rsid w:val="0081226A"/>
    <w:rsid w:val="00814961"/>
    <w:rsid w:val="00817A1E"/>
    <w:rsid w:val="00834959"/>
    <w:rsid w:val="008419BA"/>
    <w:rsid w:val="00842536"/>
    <w:rsid w:val="008446BF"/>
    <w:rsid w:val="008447C0"/>
    <w:rsid w:val="00846E45"/>
    <w:rsid w:val="008479D1"/>
    <w:rsid w:val="008501D1"/>
    <w:rsid w:val="008505CF"/>
    <w:rsid w:val="0085242D"/>
    <w:rsid w:val="00852B15"/>
    <w:rsid w:val="00860723"/>
    <w:rsid w:val="00860DEB"/>
    <w:rsid w:val="008635A0"/>
    <w:rsid w:val="008638D2"/>
    <w:rsid w:val="008677EB"/>
    <w:rsid w:val="00867AFB"/>
    <w:rsid w:val="0087335C"/>
    <w:rsid w:val="00875CAB"/>
    <w:rsid w:val="00875CBF"/>
    <w:rsid w:val="00876003"/>
    <w:rsid w:val="008803A1"/>
    <w:rsid w:val="0088596D"/>
    <w:rsid w:val="00886506"/>
    <w:rsid w:val="00886621"/>
    <w:rsid w:val="008870F7"/>
    <w:rsid w:val="00887502"/>
    <w:rsid w:val="008946EE"/>
    <w:rsid w:val="00896AD9"/>
    <w:rsid w:val="008A1004"/>
    <w:rsid w:val="008A3A1D"/>
    <w:rsid w:val="008A3CA6"/>
    <w:rsid w:val="008A5A85"/>
    <w:rsid w:val="008A5CF3"/>
    <w:rsid w:val="008A644F"/>
    <w:rsid w:val="008B244E"/>
    <w:rsid w:val="008B2754"/>
    <w:rsid w:val="008B28E9"/>
    <w:rsid w:val="008B3383"/>
    <w:rsid w:val="008B5BD1"/>
    <w:rsid w:val="008B5CFF"/>
    <w:rsid w:val="008B6C37"/>
    <w:rsid w:val="008C1988"/>
    <w:rsid w:val="008C2251"/>
    <w:rsid w:val="008C2B0B"/>
    <w:rsid w:val="008C5917"/>
    <w:rsid w:val="008C606B"/>
    <w:rsid w:val="008C6871"/>
    <w:rsid w:val="008C6EC1"/>
    <w:rsid w:val="008D15D7"/>
    <w:rsid w:val="008D2FCB"/>
    <w:rsid w:val="008D371B"/>
    <w:rsid w:val="008E0A53"/>
    <w:rsid w:val="008E598E"/>
    <w:rsid w:val="008E7995"/>
    <w:rsid w:val="008F4E8C"/>
    <w:rsid w:val="008F6544"/>
    <w:rsid w:val="008F6A82"/>
    <w:rsid w:val="00902CE1"/>
    <w:rsid w:val="00903663"/>
    <w:rsid w:val="009146BD"/>
    <w:rsid w:val="009159AD"/>
    <w:rsid w:val="00915D92"/>
    <w:rsid w:val="00915D94"/>
    <w:rsid w:val="00916A8F"/>
    <w:rsid w:val="0092441C"/>
    <w:rsid w:val="00924CA9"/>
    <w:rsid w:val="00925C28"/>
    <w:rsid w:val="00925ECC"/>
    <w:rsid w:val="00926279"/>
    <w:rsid w:val="009265CA"/>
    <w:rsid w:val="009274CA"/>
    <w:rsid w:val="00930EBC"/>
    <w:rsid w:val="00934269"/>
    <w:rsid w:val="00934528"/>
    <w:rsid w:val="00934D91"/>
    <w:rsid w:val="00935D3F"/>
    <w:rsid w:val="0094083D"/>
    <w:rsid w:val="0094192A"/>
    <w:rsid w:val="00941B47"/>
    <w:rsid w:val="00943A63"/>
    <w:rsid w:val="009443C7"/>
    <w:rsid w:val="0094543B"/>
    <w:rsid w:val="009457E6"/>
    <w:rsid w:val="00951B55"/>
    <w:rsid w:val="00953BA2"/>
    <w:rsid w:val="009648F3"/>
    <w:rsid w:val="009672DD"/>
    <w:rsid w:val="0097134A"/>
    <w:rsid w:val="00972F7D"/>
    <w:rsid w:val="00973261"/>
    <w:rsid w:val="00976EC1"/>
    <w:rsid w:val="009778D3"/>
    <w:rsid w:val="0098522E"/>
    <w:rsid w:val="009873B6"/>
    <w:rsid w:val="009960E3"/>
    <w:rsid w:val="009A1CB4"/>
    <w:rsid w:val="009A36F1"/>
    <w:rsid w:val="009B4F9C"/>
    <w:rsid w:val="009B66A0"/>
    <w:rsid w:val="009B7B38"/>
    <w:rsid w:val="009C510F"/>
    <w:rsid w:val="009D11E2"/>
    <w:rsid w:val="009D49E1"/>
    <w:rsid w:val="009D6956"/>
    <w:rsid w:val="009E3A3F"/>
    <w:rsid w:val="009E3BA3"/>
    <w:rsid w:val="009E5144"/>
    <w:rsid w:val="009E5474"/>
    <w:rsid w:val="009E5EE0"/>
    <w:rsid w:val="009E72F1"/>
    <w:rsid w:val="009F1AC1"/>
    <w:rsid w:val="009F3517"/>
    <w:rsid w:val="00A04AAF"/>
    <w:rsid w:val="00A10398"/>
    <w:rsid w:val="00A12C87"/>
    <w:rsid w:val="00A13013"/>
    <w:rsid w:val="00A201A5"/>
    <w:rsid w:val="00A20A98"/>
    <w:rsid w:val="00A21ABD"/>
    <w:rsid w:val="00A22F92"/>
    <w:rsid w:val="00A24164"/>
    <w:rsid w:val="00A26C2D"/>
    <w:rsid w:val="00A314E5"/>
    <w:rsid w:val="00A33C73"/>
    <w:rsid w:val="00A35468"/>
    <w:rsid w:val="00A362C1"/>
    <w:rsid w:val="00A36A8E"/>
    <w:rsid w:val="00A37085"/>
    <w:rsid w:val="00A40714"/>
    <w:rsid w:val="00A41D68"/>
    <w:rsid w:val="00A42045"/>
    <w:rsid w:val="00A425C4"/>
    <w:rsid w:val="00A42D69"/>
    <w:rsid w:val="00A45224"/>
    <w:rsid w:val="00A453CD"/>
    <w:rsid w:val="00A5289C"/>
    <w:rsid w:val="00A538FE"/>
    <w:rsid w:val="00A53B94"/>
    <w:rsid w:val="00A600C9"/>
    <w:rsid w:val="00A60E71"/>
    <w:rsid w:val="00A62035"/>
    <w:rsid w:val="00A643E8"/>
    <w:rsid w:val="00A645D2"/>
    <w:rsid w:val="00A659A8"/>
    <w:rsid w:val="00A6671D"/>
    <w:rsid w:val="00A67335"/>
    <w:rsid w:val="00A703A4"/>
    <w:rsid w:val="00A70EAC"/>
    <w:rsid w:val="00A71A70"/>
    <w:rsid w:val="00A7284E"/>
    <w:rsid w:val="00A72850"/>
    <w:rsid w:val="00A73AFE"/>
    <w:rsid w:val="00A76A85"/>
    <w:rsid w:val="00A77424"/>
    <w:rsid w:val="00A8094F"/>
    <w:rsid w:val="00A8096F"/>
    <w:rsid w:val="00A838BA"/>
    <w:rsid w:val="00A83DA9"/>
    <w:rsid w:val="00A8443A"/>
    <w:rsid w:val="00A8670B"/>
    <w:rsid w:val="00A920BD"/>
    <w:rsid w:val="00A92FDA"/>
    <w:rsid w:val="00A95488"/>
    <w:rsid w:val="00A966A4"/>
    <w:rsid w:val="00A973AB"/>
    <w:rsid w:val="00A979C2"/>
    <w:rsid w:val="00AA24A9"/>
    <w:rsid w:val="00AA3C68"/>
    <w:rsid w:val="00AA6B1B"/>
    <w:rsid w:val="00AA6E43"/>
    <w:rsid w:val="00AA777D"/>
    <w:rsid w:val="00AB04DE"/>
    <w:rsid w:val="00AB3F74"/>
    <w:rsid w:val="00AB4BF6"/>
    <w:rsid w:val="00AB5834"/>
    <w:rsid w:val="00AB7D98"/>
    <w:rsid w:val="00AC5A32"/>
    <w:rsid w:val="00AC632C"/>
    <w:rsid w:val="00AC686B"/>
    <w:rsid w:val="00AC793D"/>
    <w:rsid w:val="00AD1223"/>
    <w:rsid w:val="00AD1959"/>
    <w:rsid w:val="00AD2111"/>
    <w:rsid w:val="00AD6A1B"/>
    <w:rsid w:val="00AE28D6"/>
    <w:rsid w:val="00AE3A8F"/>
    <w:rsid w:val="00AE3FE5"/>
    <w:rsid w:val="00AE55E2"/>
    <w:rsid w:val="00AE5C32"/>
    <w:rsid w:val="00AE702B"/>
    <w:rsid w:val="00AF2190"/>
    <w:rsid w:val="00AF4D1B"/>
    <w:rsid w:val="00AF588B"/>
    <w:rsid w:val="00AF5C82"/>
    <w:rsid w:val="00AF6CC9"/>
    <w:rsid w:val="00AF6E46"/>
    <w:rsid w:val="00AF72BD"/>
    <w:rsid w:val="00B0072C"/>
    <w:rsid w:val="00B01EF9"/>
    <w:rsid w:val="00B026C1"/>
    <w:rsid w:val="00B02E46"/>
    <w:rsid w:val="00B040A3"/>
    <w:rsid w:val="00B04C7A"/>
    <w:rsid w:val="00B04E8E"/>
    <w:rsid w:val="00B06E3E"/>
    <w:rsid w:val="00B1001D"/>
    <w:rsid w:val="00B16216"/>
    <w:rsid w:val="00B17F5C"/>
    <w:rsid w:val="00B2090C"/>
    <w:rsid w:val="00B20BB2"/>
    <w:rsid w:val="00B23144"/>
    <w:rsid w:val="00B26AB1"/>
    <w:rsid w:val="00B31F38"/>
    <w:rsid w:val="00B32176"/>
    <w:rsid w:val="00B3360E"/>
    <w:rsid w:val="00B33E09"/>
    <w:rsid w:val="00B34261"/>
    <w:rsid w:val="00B35738"/>
    <w:rsid w:val="00B36598"/>
    <w:rsid w:val="00B41A9B"/>
    <w:rsid w:val="00B43DF1"/>
    <w:rsid w:val="00B453D5"/>
    <w:rsid w:val="00B54D77"/>
    <w:rsid w:val="00B60057"/>
    <w:rsid w:val="00B606DA"/>
    <w:rsid w:val="00B67887"/>
    <w:rsid w:val="00B706AC"/>
    <w:rsid w:val="00B70F14"/>
    <w:rsid w:val="00B73D2B"/>
    <w:rsid w:val="00B76BE4"/>
    <w:rsid w:val="00B800F3"/>
    <w:rsid w:val="00B82BCA"/>
    <w:rsid w:val="00B833D3"/>
    <w:rsid w:val="00B85C44"/>
    <w:rsid w:val="00B8762C"/>
    <w:rsid w:val="00B940C0"/>
    <w:rsid w:val="00B95465"/>
    <w:rsid w:val="00B961C9"/>
    <w:rsid w:val="00BA2C01"/>
    <w:rsid w:val="00BA5072"/>
    <w:rsid w:val="00BA5E84"/>
    <w:rsid w:val="00BB2F12"/>
    <w:rsid w:val="00BB2FD7"/>
    <w:rsid w:val="00BB50F2"/>
    <w:rsid w:val="00BB5FC5"/>
    <w:rsid w:val="00BB69AC"/>
    <w:rsid w:val="00BB7905"/>
    <w:rsid w:val="00BC36C5"/>
    <w:rsid w:val="00BC5CB9"/>
    <w:rsid w:val="00BD1163"/>
    <w:rsid w:val="00BD1AB9"/>
    <w:rsid w:val="00BD535D"/>
    <w:rsid w:val="00BD59EC"/>
    <w:rsid w:val="00BE104C"/>
    <w:rsid w:val="00BE3702"/>
    <w:rsid w:val="00BF3615"/>
    <w:rsid w:val="00BF47EE"/>
    <w:rsid w:val="00BF6282"/>
    <w:rsid w:val="00BF72EE"/>
    <w:rsid w:val="00C00BF6"/>
    <w:rsid w:val="00C00EE3"/>
    <w:rsid w:val="00C0200A"/>
    <w:rsid w:val="00C0218D"/>
    <w:rsid w:val="00C0447B"/>
    <w:rsid w:val="00C068C3"/>
    <w:rsid w:val="00C10441"/>
    <w:rsid w:val="00C11164"/>
    <w:rsid w:val="00C161BE"/>
    <w:rsid w:val="00C16F6F"/>
    <w:rsid w:val="00C170AC"/>
    <w:rsid w:val="00C20A7A"/>
    <w:rsid w:val="00C20D07"/>
    <w:rsid w:val="00C20EBA"/>
    <w:rsid w:val="00C2266B"/>
    <w:rsid w:val="00C23AB7"/>
    <w:rsid w:val="00C24EE9"/>
    <w:rsid w:val="00C2675E"/>
    <w:rsid w:val="00C26ECA"/>
    <w:rsid w:val="00C2704E"/>
    <w:rsid w:val="00C30A0B"/>
    <w:rsid w:val="00C34640"/>
    <w:rsid w:val="00C3524B"/>
    <w:rsid w:val="00C418D9"/>
    <w:rsid w:val="00C43CD4"/>
    <w:rsid w:val="00C44190"/>
    <w:rsid w:val="00C45575"/>
    <w:rsid w:val="00C45DEC"/>
    <w:rsid w:val="00C50E82"/>
    <w:rsid w:val="00C5380F"/>
    <w:rsid w:val="00C56777"/>
    <w:rsid w:val="00C67224"/>
    <w:rsid w:val="00C7177D"/>
    <w:rsid w:val="00C74C0A"/>
    <w:rsid w:val="00C7571E"/>
    <w:rsid w:val="00C815ED"/>
    <w:rsid w:val="00C81F8B"/>
    <w:rsid w:val="00C84A3B"/>
    <w:rsid w:val="00C87013"/>
    <w:rsid w:val="00C90E1A"/>
    <w:rsid w:val="00C9116A"/>
    <w:rsid w:val="00C92A2E"/>
    <w:rsid w:val="00C945B7"/>
    <w:rsid w:val="00C96C6A"/>
    <w:rsid w:val="00C975B2"/>
    <w:rsid w:val="00CA127F"/>
    <w:rsid w:val="00CA1B44"/>
    <w:rsid w:val="00CA3CAD"/>
    <w:rsid w:val="00CA687D"/>
    <w:rsid w:val="00CA73CD"/>
    <w:rsid w:val="00CB5E32"/>
    <w:rsid w:val="00CB66DA"/>
    <w:rsid w:val="00CC13ED"/>
    <w:rsid w:val="00CC2E59"/>
    <w:rsid w:val="00CC3B10"/>
    <w:rsid w:val="00CC4E37"/>
    <w:rsid w:val="00CC5FB4"/>
    <w:rsid w:val="00CC6518"/>
    <w:rsid w:val="00CC6E5B"/>
    <w:rsid w:val="00CC7DB6"/>
    <w:rsid w:val="00CD1A91"/>
    <w:rsid w:val="00CE058D"/>
    <w:rsid w:val="00CE297C"/>
    <w:rsid w:val="00CE4E92"/>
    <w:rsid w:val="00CE76D6"/>
    <w:rsid w:val="00CF31E7"/>
    <w:rsid w:val="00CF3272"/>
    <w:rsid w:val="00CF3391"/>
    <w:rsid w:val="00CF370D"/>
    <w:rsid w:val="00CF450E"/>
    <w:rsid w:val="00D00CD9"/>
    <w:rsid w:val="00D01BB6"/>
    <w:rsid w:val="00D03ACA"/>
    <w:rsid w:val="00D03EF0"/>
    <w:rsid w:val="00D04077"/>
    <w:rsid w:val="00D076B3"/>
    <w:rsid w:val="00D109F4"/>
    <w:rsid w:val="00D16753"/>
    <w:rsid w:val="00D16E50"/>
    <w:rsid w:val="00D22072"/>
    <w:rsid w:val="00D2252B"/>
    <w:rsid w:val="00D22E9F"/>
    <w:rsid w:val="00D2319D"/>
    <w:rsid w:val="00D23AB3"/>
    <w:rsid w:val="00D2473E"/>
    <w:rsid w:val="00D26FC6"/>
    <w:rsid w:val="00D272C4"/>
    <w:rsid w:val="00D3222C"/>
    <w:rsid w:val="00D33019"/>
    <w:rsid w:val="00D34943"/>
    <w:rsid w:val="00D405F7"/>
    <w:rsid w:val="00D40FC3"/>
    <w:rsid w:val="00D412B9"/>
    <w:rsid w:val="00D41C2B"/>
    <w:rsid w:val="00D464F9"/>
    <w:rsid w:val="00D62160"/>
    <w:rsid w:val="00D62F81"/>
    <w:rsid w:val="00D63EA2"/>
    <w:rsid w:val="00D6691C"/>
    <w:rsid w:val="00D70B15"/>
    <w:rsid w:val="00D7342E"/>
    <w:rsid w:val="00D737A4"/>
    <w:rsid w:val="00D73889"/>
    <w:rsid w:val="00D7508B"/>
    <w:rsid w:val="00D75A87"/>
    <w:rsid w:val="00D81D8B"/>
    <w:rsid w:val="00D81E1D"/>
    <w:rsid w:val="00D82A3C"/>
    <w:rsid w:val="00D840AD"/>
    <w:rsid w:val="00D847B0"/>
    <w:rsid w:val="00D86E62"/>
    <w:rsid w:val="00D938B5"/>
    <w:rsid w:val="00D942F9"/>
    <w:rsid w:val="00D94DF3"/>
    <w:rsid w:val="00DA0C6A"/>
    <w:rsid w:val="00DA19DD"/>
    <w:rsid w:val="00DA2731"/>
    <w:rsid w:val="00DA3F7A"/>
    <w:rsid w:val="00DA401F"/>
    <w:rsid w:val="00DB0523"/>
    <w:rsid w:val="00DB1AD3"/>
    <w:rsid w:val="00DB2E58"/>
    <w:rsid w:val="00DC0A90"/>
    <w:rsid w:val="00DC1C4A"/>
    <w:rsid w:val="00DC2A15"/>
    <w:rsid w:val="00DC3837"/>
    <w:rsid w:val="00DC70AB"/>
    <w:rsid w:val="00DD0D0A"/>
    <w:rsid w:val="00DD0EAF"/>
    <w:rsid w:val="00DD353D"/>
    <w:rsid w:val="00DD3E4D"/>
    <w:rsid w:val="00DD500E"/>
    <w:rsid w:val="00DD7FC2"/>
    <w:rsid w:val="00DE007D"/>
    <w:rsid w:val="00DE318E"/>
    <w:rsid w:val="00DE3AB7"/>
    <w:rsid w:val="00DE3FF4"/>
    <w:rsid w:val="00DE5FB4"/>
    <w:rsid w:val="00DE7BBD"/>
    <w:rsid w:val="00DE7E40"/>
    <w:rsid w:val="00DF5B5A"/>
    <w:rsid w:val="00DF6551"/>
    <w:rsid w:val="00E06041"/>
    <w:rsid w:val="00E1171F"/>
    <w:rsid w:val="00E17201"/>
    <w:rsid w:val="00E22F1A"/>
    <w:rsid w:val="00E270FB"/>
    <w:rsid w:val="00E27D42"/>
    <w:rsid w:val="00E31AE1"/>
    <w:rsid w:val="00E31B68"/>
    <w:rsid w:val="00E321AD"/>
    <w:rsid w:val="00E36ECD"/>
    <w:rsid w:val="00E36FD6"/>
    <w:rsid w:val="00E45DCB"/>
    <w:rsid w:val="00E4642C"/>
    <w:rsid w:val="00E46A53"/>
    <w:rsid w:val="00E478EB"/>
    <w:rsid w:val="00E5012E"/>
    <w:rsid w:val="00E520C3"/>
    <w:rsid w:val="00E530C6"/>
    <w:rsid w:val="00E54B96"/>
    <w:rsid w:val="00E60347"/>
    <w:rsid w:val="00E61D85"/>
    <w:rsid w:val="00E6605A"/>
    <w:rsid w:val="00E67590"/>
    <w:rsid w:val="00E675B8"/>
    <w:rsid w:val="00E70794"/>
    <w:rsid w:val="00E80E1F"/>
    <w:rsid w:val="00E8290C"/>
    <w:rsid w:val="00E911D5"/>
    <w:rsid w:val="00E921E3"/>
    <w:rsid w:val="00E9627A"/>
    <w:rsid w:val="00E9646F"/>
    <w:rsid w:val="00E96615"/>
    <w:rsid w:val="00E9671A"/>
    <w:rsid w:val="00E968F4"/>
    <w:rsid w:val="00EA54AF"/>
    <w:rsid w:val="00EA6387"/>
    <w:rsid w:val="00EB28CF"/>
    <w:rsid w:val="00EB6718"/>
    <w:rsid w:val="00EC0AE8"/>
    <w:rsid w:val="00EC16D8"/>
    <w:rsid w:val="00ED0151"/>
    <w:rsid w:val="00ED12FB"/>
    <w:rsid w:val="00ED44F4"/>
    <w:rsid w:val="00ED4906"/>
    <w:rsid w:val="00EE089E"/>
    <w:rsid w:val="00EE2534"/>
    <w:rsid w:val="00EE6B0F"/>
    <w:rsid w:val="00EE7A14"/>
    <w:rsid w:val="00EE7B4F"/>
    <w:rsid w:val="00EF2C5E"/>
    <w:rsid w:val="00EF5076"/>
    <w:rsid w:val="00EF52E2"/>
    <w:rsid w:val="00EF54B1"/>
    <w:rsid w:val="00EF5BA6"/>
    <w:rsid w:val="00EF73B0"/>
    <w:rsid w:val="00F014E4"/>
    <w:rsid w:val="00F01F26"/>
    <w:rsid w:val="00F030F6"/>
    <w:rsid w:val="00F04880"/>
    <w:rsid w:val="00F04DED"/>
    <w:rsid w:val="00F11C71"/>
    <w:rsid w:val="00F138E9"/>
    <w:rsid w:val="00F1450E"/>
    <w:rsid w:val="00F16C66"/>
    <w:rsid w:val="00F173D6"/>
    <w:rsid w:val="00F17655"/>
    <w:rsid w:val="00F20783"/>
    <w:rsid w:val="00F25069"/>
    <w:rsid w:val="00F26EA3"/>
    <w:rsid w:val="00F27BD5"/>
    <w:rsid w:val="00F315F5"/>
    <w:rsid w:val="00F3210A"/>
    <w:rsid w:val="00F3494B"/>
    <w:rsid w:val="00F3668F"/>
    <w:rsid w:val="00F37277"/>
    <w:rsid w:val="00F406D9"/>
    <w:rsid w:val="00F40EA3"/>
    <w:rsid w:val="00F444A1"/>
    <w:rsid w:val="00F5163E"/>
    <w:rsid w:val="00F5486C"/>
    <w:rsid w:val="00F60279"/>
    <w:rsid w:val="00F606FA"/>
    <w:rsid w:val="00F629F4"/>
    <w:rsid w:val="00F65860"/>
    <w:rsid w:val="00F6766A"/>
    <w:rsid w:val="00F702C0"/>
    <w:rsid w:val="00F7207C"/>
    <w:rsid w:val="00F73C0D"/>
    <w:rsid w:val="00F74369"/>
    <w:rsid w:val="00F747E3"/>
    <w:rsid w:val="00F7625C"/>
    <w:rsid w:val="00F7716F"/>
    <w:rsid w:val="00F771BD"/>
    <w:rsid w:val="00F8072F"/>
    <w:rsid w:val="00F814A7"/>
    <w:rsid w:val="00F819FC"/>
    <w:rsid w:val="00F81D61"/>
    <w:rsid w:val="00F8203E"/>
    <w:rsid w:val="00F828B2"/>
    <w:rsid w:val="00F841B0"/>
    <w:rsid w:val="00F857B8"/>
    <w:rsid w:val="00F9191B"/>
    <w:rsid w:val="00F92244"/>
    <w:rsid w:val="00F935C5"/>
    <w:rsid w:val="00F9488E"/>
    <w:rsid w:val="00F97B63"/>
    <w:rsid w:val="00FA1828"/>
    <w:rsid w:val="00FA2EC0"/>
    <w:rsid w:val="00FA36E9"/>
    <w:rsid w:val="00FB17A9"/>
    <w:rsid w:val="00FB527A"/>
    <w:rsid w:val="00FB5964"/>
    <w:rsid w:val="00FB5F3B"/>
    <w:rsid w:val="00FC3EEE"/>
    <w:rsid w:val="00FC67B1"/>
    <w:rsid w:val="00FC7886"/>
    <w:rsid w:val="00FD5842"/>
    <w:rsid w:val="00FD78C9"/>
    <w:rsid w:val="00FE076C"/>
    <w:rsid w:val="00FE2624"/>
    <w:rsid w:val="00FE5FCF"/>
    <w:rsid w:val="00FE5FF6"/>
    <w:rsid w:val="00FE6920"/>
    <w:rsid w:val="00FE7702"/>
    <w:rsid w:val="00FF1C77"/>
    <w:rsid w:val="00FF3935"/>
    <w:rsid w:val="00FF6931"/>
    <w:rsid w:val="00FF72D7"/>
    <w:rsid w:val="00FF7530"/>
    <w:rsid w:val="00FF7B7C"/>
    <w:rsid w:val="00FF7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A364B"/>
  <w15:chartTrackingRefBased/>
  <w15:docId w15:val="{0FF0C382-6D00-4DBE-9FB3-4B3CA334E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Char Char Char Char Char Char Char Char Char Char Char Char Char Char Char,Char Char Char Char Char Char Char Char Char Char Char Char,Char Char Cha,Char"/>
    <w:basedOn w:val="Normal"/>
    <w:link w:val="NormalWebChar"/>
    <w:uiPriority w:val="99"/>
    <w:unhideWhenUsed/>
    <w:qFormat/>
    <w:rsid w:val="00335E17"/>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 Char Char Char Char,Char Char Cha Char,Char Char"/>
    <w:link w:val="NormalWeb"/>
    <w:uiPriority w:val="99"/>
    <w:qFormat/>
    <w:locked/>
    <w:rsid w:val="00335E17"/>
    <w:rPr>
      <w:rFonts w:ascii="Times New Roman" w:eastAsiaTheme="minorEastAsia" w:hAnsi="Times New Roman" w:cs="Times New Roman"/>
      <w:sz w:val="24"/>
      <w:szCs w:val="24"/>
    </w:rPr>
  </w:style>
  <w:style w:type="table" w:styleId="TableGrid">
    <w:name w:val="Table Grid"/>
    <w:basedOn w:val="TableNormal"/>
    <w:uiPriority w:val="39"/>
    <w:rsid w:val="00335E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73D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73D0"/>
  </w:style>
  <w:style w:type="paragraph" w:styleId="Footer">
    <w:name w:val="footer"/>
    <w:basedOn w:val="Normal"/>
    <w:link w:val="FooterChar"/>
    <w:uiPriority w:val="99"/>
    <w:unhideWhenUsed/>
    <w:rsid w:val="003473D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3D0"/>
  </w:style>
  <w:style w:type="paragraph" w:styleId="ListParagraph">
    <w:name w:val="List Paragraph"/>
    <w:basedOn w:val="Normal"/>
    <w:uiPriority w:val="1"/>
    <w:qFormat/>
    <w:rsid w:val="00B95465"/>
    <w:pPr>
      <w:ind w:left="720"/>
      <w:contextualSpacing/>
    </w:pPr>
  </w:style>
  <w:style w:type="character" w:styleId="CommentReference">
    <w:name w:val="annotation reference"/>
    <w:basedOn w:val="DefaultParagraphFont"/>
    <w:unhideWhenUsed/>
    <w:rsid w:val="003E0DD6"/>
    <w:rPr>
      <w:sz w:val="16"/>
      <w:szCs w:val="16"/>
    </w:rPr>
  </w:style>
  <w:style w:type="paragraph" w:styleId="CommentText">
    <w:name w:val="annotation text"/>
    <w:basedOn w:val="Normal"/>
    <w:link w:val="CommentTextChar"/>
    <w:unhideWhenUsed/>
    <w:rsid w:val="003E0DD6"/>
    <w:pPr>
      <w:spacing w:line="240" w:lineRule="auto"/>
    </w:pPr>
    <w:rPr>
      <w:rFonts w:ascii="Times New Roman" w:hAnsi="Times New Roman"/>
      <w:sz w:val="20"/>
      <w:szCs w:val="20"/>
    </w:rPr>
  </w:style>
  <w:style w:type="character" w:customStyle="1" w:styleId="CommentTextChar">
    <w:name w:val="Comment Text Char"/>
    <w:basedOn w:val="DefaultParagraphFont"/>
    <w:link w:val="CommentText"/>
    <w:uiPriority w:val="99"/>
    <w:rsid w:val="003E0DD6"/>
    <w:rPr>
      <w:rFonts w:ascii="Times New Roman" w:hAnsi="Times New Roman"/>
      <w:sz w:val="20"/>
      <w:szCs w:val="20"/>
    </w:rPr>
  </w:style>
  <w:style w:type="paragraph" w:styleId="BalloonText">
    <w:name w:val="Balloon Text"/>
    <w:basedOn w:val="Normal"/>
    <w:link w:val="BalloonTextChar"/>
    <w:uiPriority w:val="99"/>
    <w:semiHidden/>
    <w:unhideWhenUsed/>
    <w:rsid w:val="003E0D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0DD6"/>
    <w:rPr>
      <w:rFonts w:ascii="Segoe UI" w:hAnsi="Segoe UI" w:cs="Segoe UI"/>
      <w:sz w:val="18"/>
      <w:szCs w:val="18"/>
    </w:rPr>
  </w:style>
  <w:style w:type="character" w:styleId="Hyperlink">
    <w:name w:val="Hyperlink"/>
    <w:basedOn w:val="DefaultParagraphFont"/>
    <w:uiPriority w:val="99"/>
    <w:unhideWhenUsed/>
    <w:rsid w:val="002D285D"/>
    <w:rPr>
      <w:color w:val="0000FF"/>
      <w:u w:val="single"/>
    </w:rPr>
  </w:style>
  <w:style w:type="character" w:styleId="Emphasis">
    <w:name w:val="Emphasis"/>
    <w:basedOn w:val="DefaultParagraphFont"/>
    <w:uiPriority w:val="20"/>
    <w:qFormat/>
    <w:rsid w:val="002D285D"/>
    <w:rPr>
      <w:i/>
      <w:iCs/>
    </w:rPr>
  </w:style>
  <w:style w:type="paragraph" w:customStyle="1" w:styleId="Default">
    <w:name w:val="Default"/>
    <w:rsid w:val="00CA1B4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harCharCharCharCharCharCharCharCharChar">
    <w:name w:val="Char Char Char Char Char Char Char Char Char Char"/>
    <w:basedOn w:val="Normal"/>
    <w:autoRedefine/>
    <w:rsid w:val="004C4DAD"/>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fontstyle01">
    <w:name w:val="fontstyle01"/>
    <w:qFormat/>
    <w:rsid w:val="001907B1"/>
    <w:rPr>
      <w:rFonts w:ascii="TimesNewRomanPSMT" w:hAnsi="TimesNewRomanPSMT" w:hint="default"/>
      <w:b w:val="0"/>
      <w:bCs w:val="0"/>
      <w:i w:val="0"/>
      <w:iCs w:val="0"/>
      <w:color w:val="000000"/>
      <w:sz w:val="22"/>
      <w:szCs w:val="22"/>
    </w:rPr>
  </w:style>
  <w:style w:type="character" w:customStyle="1" w:styleId="fontstyle21">
    <w:name w:val="fontstyle21"/>
    <w:basedOn w:val="DefaultParagraphFont"/>
    <w:rsid w:val="00A21ABD"/>
    <w:rPr>
      <w:rFonts w:ascii="Times New Roman" w:hAnsi="Times New Roman" w:cs="Times New Roman" w:hint="default"/>
      <w:b/>
      <w:bCs/>
      <w:i w:val="0"/>
      <w:iCs w:val="0"/>
      <w:color w:val="000000"/>
      <w:sz w:val="20"/>
      <w:szCs w:val="20"/>
    </w:rPr>
  </w:style>
  <w:style w:type="character" w:customStyle="1" w:styleId="fontstyle31">
    <w:name w:val="fontstyle31"/>
    <w:rsid w:val="00375A85"/>
    <w:rPr>
      <w:rFonts w:ascii="Times New Roman" w:hAnsi="Times New Roman" w:cs="Times New Roman" w:hint="default"/>
      <w:b/>
      <w:bCs/>
      <w:i/>
      <w:iCs/>
      <w:color w:val="000000"/>
      <w:sz w:val="24"/>
      <w:szCs w:val="24"/>
    </w:rPr>
  </w:style>
  <w:style w:type="paragraph" w:customStyle="1" w:styleId="TableParagraph">
    <w:name w:val="Table Paragraph"/>
    <w:basedOn w:val="Normal"/>
    <w:uiPriority w:val="1"/>
    <w:qFormat/>
    <w:rsid w:val="00A22F92"/>
    <w:pPr>
      <w:widowControl w:val="0"/>
      <w:autoSpaceDE w:val="0"/>
      <w:autoSpaceDN w:val="0"/>
      <w:spacing w:after="0" w:line="240" w:lineRule="auto"/>
    </w:pPr>
    <w:rPr>
      <w:rFonts w:ascii="Times New Roman" w:eastAsia="Times New Roman" w:hAnsi="Times New Roman" w:cs="Times New Roman"/>
      <w:lang w:val="vi"/>
    </w:rPr>
  </w:style>
  <w:style w:type="character" w:customStyle="1" w:styleId="Chthchbng">
    <w:name w:val="Chú thích bảng_"/>
    <w:basedOn w:val="DefaultParagraphFont"/>
    <w:link w:val="Chthchbng0"/>
    <w:rsid w:val="00311840"/>
    <w:rPr>
      <w:rFonts w:ascii="Times New Roman" w:eastAsia="Times New Roman" w:hAnsi="Times New Roman" w:cs="Times New Roman"/>
      <w:b/>
      <w:bCs/>
      <w:sz w:val="26"/>
      <w:szCs w:val="26"/>
    </w:rPr>
  </w:style>
  <w:style w:type="paragraph" w:customStyle="1" w:styleId="Chthchbng0">
    <w:name w:val="Chú thích bảng"/>
    <w:basedOn w:val="Normal"/>
    <w:link w:val="Chthchbng"/>
    <w:rsid w:val="00311840"/>
    <w:pPr>
      <w:widowControl w:val="0"/>
      <w:spacing w:after="0" w:line="240" w:lineRule="auto"/>
    </w:pPr>
    <w:rPr>
      <w:rFonts w:ascii="Times New Roman" w:eastAsia="Times New Roman" w:hAnsi="Times New Roman" w:cs="Times New Roman"/>
      <w:b/>
      <w:bCs/>
      <w:sz w:val="26"/>
      <w:szCs w:val="26"/>
    </w:rPr>
  </w:style>
  <w:style w:type="character" w:customStyle="1" w:styleId="Khc">
    <w:name w:val="Khác_"/>
    <w:link w:val="Khc0"/>
    <w:rsid w:val="00311840"/>
    <w:rPr>
      <w:rFonts w:ascii="Times New Roman" w:eastAsia="Times New Roman" w:hAnsi="Times New Roman" w:cs="Times New Roman"/>
      <w:sz w:val="26"/>
      <w:szCs w:val="26"/>
    </w:rPr>
  </w:style>
  <w:style w:type="paragraph" w:customStyle="1" w:styleId="Khc0">
    <w:name w:val="Khác"/>
    <w:basedOn w:val="Normal"/>
    <w:link w:val="Khc"/>
    <w:rsid w:val="00311840"/>
    <w:pPr>
      <w:widowControl w:val="0"/>
      <w:spacing w:after="100"/>
      <w:ind w:firstLine="400"/>
    </w:pPr>
    <w:rPr>
      <w:rFonts w:ascii="Times New Roman" w:eastAsia="Times New Roman" w:hAnsi="Times New Roman" w:cs="Times New Roman"/>
      <w:sz w:val="26"/>
      <w:szCs w:val="26"/>
    </w:rPr>
  </w:style>
  <w:style w:type="paragraph" w:customStyle="1" w:styleId="Char">
    <w:name w:val="Char"/>
    <w:basedOn w:val="Normal"/>
    <w:autoRedefine/>
    <w:rsid w:val="008D371B"/>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
    <w:name w:val="Char Char Char Char"/>
    <w:basedOn w:val="Normal"/>
    <w:rsid w:val="009E3BA3"/>
    <w:pPr>
      <w:spacing w:line="240" w:lineRule="exact"/>
    </w:pPr>
    <w:rPr>
      <w:rFonts w:ascii="Verdana" w:eastAsia="Times New Roman" w:hAnsi="Verdana" w:cs="Times New Roman"/>
      <w:sz w:val="20"/>
      <w:szCs w:val="20"/>
    </w:rPr>
  </w:style>
  <w:style w:type="paragraph" w:customStyle="1" w:styleId="CharCharCharCharCharCharChar">
    <w:name w:val="Char Char Char Char Char Char Char"/>
    <w:basedOn w:val="Normal"/>
    <w:rsid w:val="00012C24"/>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Bodytext2">
    <w:name w:val="Body text (2)_"/>
    <w:link w:val="Bodytext20"/>
    <w:locked/>
    <w:rsid w:val="00122694"/>
    <w:rPr>
      <w:b/>
      <w:bCs/>
      <w:sz w:val="26"/>
      <w:szCs w:val="26"/>
      <w:shd w:val="clear" w:color="auto" w:fill="FFFFFF"/>
    </w:rPr>
  </w:style>
  <w:style w:type="paragraph" w:customStyle="1" w:styleId="Bodytext20">
    <w:name w:val="Body text (2)"/>
    <w:basedOn w:val="Normal"/>
    <w:link w:val="Bodytext2"/>
    <w:rsid w:val="00122694"/>
    <w:pPr>
      <w:widowControl w:val="0"/>
      <w:shd w:val="clear" w:color="auto" w:fill="FFFFFF"/>
      <w:spacing w:after="0" w:line="307" w:lineRule="exact"/>
      <w:jc w:val="both"/>
    </w:pPr>
    <w:rPr>
      <w:b/>
      <w:bCs/>
      <w:sz w:val="26"/>
      <w:szCs w:val="26"/>
    </w:rPr>
  </w:style>
  <w:style w:type="paragraph" w:customStyle="1" w:styleId="ql-align-justify">
    <w:name w:val="ql-align-justify"/>
    <w:basedOn w:val="Normal"/>
    <w:rsid w:val="005800A0"/>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character" w:customStyle="1" w:styleId="BodyTextChar">
    <w:name w:val="Body Text Char"/>
    <w:basedOn w:val="DefaultParagraphFont"/>
    <w:link w:val="BodyText"/>
    <w:rsid w:val="00DD500E"/>
    <w:rPr>
      <w:rFonts w:eastAsia="Times New Roman" w:cs="Times New Roman"/>
      <w:shd w:val="clear" w:color="auto" w:fill="FFFFFF"/>
    </w:rPr>
  </w:style>
  <w:style w:type="paragraph" w:styleId="BodyText">
    <w:name w:val="Body Text"/>
    <w:basedOn w:val="Normal"/>
    <w:link w:val="BodyTextChar"/>
    <w:qFormat/>
    <w:rsid w:val="00DD500E"/>
    <w:pPr>
      <w:widowControl w:val="0"/>
      <w:shd w:val="clear" w:color="auto" w:fill="FFFFFF"/>
      <w:spacing w:after="100" w:line="269" w:lineRule="auto"/>
      <w:ind w:firstLine="400"/>
    </w:pPr>
    <w:rPr>
      <w:rFonts w:eastAsia="Times New Roman" w:cs="Times New Roman"/>
    </w:rPr>
  </w:style>
  <w:style w:type="character" w:customStyle="1" w:styleId="BodyTextChar1">
    <w:name w:val="Body Text Char1"/>
    <w:basedOn w:val="DefaultParagraphFont"/>
    <w:uiPriority w:val="99"/>
    <w:semiHidden/>
    <w:rsid w:val="00DD500E"/>
  </w:style>
  <w:style w:type="character" w:styleId="Strong">
    <w:name w:val="Strong"/>
    <w:basedOn w:val="DefaultParagraphFont"/>
    <w:uiPriority w:val="22"/>
    <w:qFormat/>
    <w:rsid w:val="009E5474"/>
    <w:rPr>
      <w:b/>
      <w:bCs/>
    </w:rPr>
  </w:style>
  <w:style w:type="paragraph" w:styleId="FootnoteText">
    <w:name w:val="footnote text"/>
    <w:aliases w:val="Footnote Text Char Char Char Char Char,Footnote Text Char Char Char Char Char Char Ch,Footnote Text Char Char Char Char Char Char Ch Char Char Char,fn,fn Char,Char Char13,f, Char Char,Footnote Text Char1 Char1,ft,Char Ch,З,BE,FN"/>
    <w:basedOn w:val="Normal"/>
    <w:link w:val="FootnoteTextChar"/>
    <w:uiPriority w:val="99"/>
    <w:unhideWhenUsed/>
    <w:qFormat/>
    <w:rsid w:val="00F771BD"/>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1,fn Char Char,Char Char13 Char,f Char, Char Char Char,ft Char"/>
    <w:basedOn w:val="DefaultParagraphFont"/>
    <w:link w:val="FootnoteText"/>
    <w:uiPriority w:val="99"/>
    <w:qFormat/>
    <w:rsid w:val="00F771BD"/>
    <w:rPr>
      <w:sz w:val="20"/>
      <w:szCs w:val="20"/>
    </w:rPr>
  </w:style>
  <w:style w:type="character" w:styleId="FootnoteReference">
    <w:name w:val="footnote reference"/>
    <w:aliases w:val="Ref,de nota al pie,Footnote,Footnote Text1,ftref,BVI fnr,footnote ref,Footnote dich,SUPERS,(NECG) Footnote Reference,16 Point,Superscript 6 Point,Footnote + Arial,10 pt,fr,BearingPoint,Footnote Reference Number,Footnote text,Black,R,4"/>
    <w:basedOn w:val="DefaultParagraphFont"/>
    <w:link w:val="RefChar"/>
    <w:uiPriority w:val="99"/>
    <w:unhideWhenUsed/>
    <w:qFormat/>
    <w:rsid w:val="00F771BD"/>
    <w:rPr>
      <w:vertAlign w:val="superscript"/>
    </w:rPr>
  </w:style>
  <w:style w:type="character" w:customStyle="1" w:styleId="text">
    <w:name w:val="text"/>
    <w:basedOn w:val="DefaultParagraphFont"/>
    <w:rsid w:val="00A45224"/>
  </w:style>
  <w:style w:type="character" w:customStyle="1" w:styleId="card-send-timesendtime">
    <w:name w:val="card-send-time__sendtime"/>
    <w:basedOn w:val="DefaultParagraphFont"/>
    <w:rsid w:val="00A45224"/>
  </w:style>
  <w:style w:type="paragraph" w:customStyle="1" w:styleId="chat-box-toolbar-item">
    <w:name w:val="chat-box-toolbar-item"/>
    <w:basedOn w:val="Normal"/>
    <w:rsid w:val="00A4522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ftref Char,BearingPoint Char,ftre"/>
    <w:basedOn w:val="Normal"/>
    <w:link w:val="FootnoteReference"/>
    <w:uiPriority w:val="99"/>
    <w:qFormat/>
    <w:rsid w:val="000C0219"/>
    <w:pPr>
      <w:spacing w:line="240" w:lineRule="exact"/>
    </w:pPr>
    <w:rPr>
      <w:vertAlign w:val="superscript"/>
    </w:rPr>
  </w:style>
  <w:style w:type="paragraph" w:customStyle="1" w:styleId="Normal1">
    <w:name w:val="Normal1"/>
    <w:basedOn w:val="Normal"/>
    <w:rsid w:val="00185E9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sonormal0">
    <w:name w:val="msonormal0"/>
    <w:basedOn w:val="DefaultParagraphFont"/>
    <w:rsid w:val="008F4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01626">
      <w:bodyDiv w:val="1"/>
      <w:marLeft w:val="0"/>
      <w:marRight w:val="0"/>
      <w:marTop w:val="0"/>
      <w:marBottom w:val="0"/>
      <w:divBdr>
        <w:top w:val="none" w:sz="0" w:space="0" w:color="auto"/>
        <w:left w:val="none" w:sz="0" w:space="0" w:color="auto"/>
        <w:bottom w:val="none" w:sz="0" w:space="0" w:color="auto"/>
        <w:right w:val="none" w:sz="0" w:space="0" w:color="auto"/>
      </w:divBdr>
    </w:div>
    <w:div w:id="37055654">
      <w:bodyDiv w:val="1"/>
      <w:marLeft w:val="0"/>
      <w:marRight w:val="0"/>
      <w:marTop w:val="0"/>
      <w:marBottom w:val="0"/>
      <w:divBdr>
        <w:top w:val="none" w:sz="0" w:space="0" w:color="auto"/>
        <w:left w:val="none" w:sz="0" w:space="0" w:color="auto"/>
        <w:bottom w:val="none" w:sz="0" w:space="0" w:color="auto"/>
        <w:right w:val="none" w:sz="0" w:space="0" w:color="auto"/>
      </w:divBdr>
    </w:div>
    <w:div w:id="534579216">
      <w:bodyDiv w:val="1"/>
      <w:marLeft w:val="0"/>
      <w:marRight w:val="0"/>
      <w:marTop w:val="0"/>
      <w:marBottom w:val="0"/>
      <w:divBdr>
        <w:top w:val="none" w:sz="0" w:space="0" w:color="auto"/>
        <w:left w:val="none" w:sz="0" w:space="0" w:color="auto"/>
        <w:bottom w:val="none" w:sz="0" w:space="0" w:color="auto"/>
        <w:right w:val="none" w:sz="0" w:space="0" w:color="auto"/>
      </w:divBdr>
    </w:div>
    <w:div w:id="742609884">
      <w:bodyDiv w:val="1"/>
      <w:marLeft w:val="0"/>
      <w:marRight w:val="0"/>
      <w:marTop w:val="0"/>
      <w:marBottom w:val="0"/>
      <w:divBdr>
        <w:top w:val="none" w:sz="0" w:space="0" w:color="auto"/>
        <w:left w:val="none" w:sz="0" w:space="0" w:color="auto"/>
        <w:bottom w:val="none" w:sz="0" w:space="0" w:color="auto"/>
        <w:right w:val="none" w:sz="0" w:space="0" w:color="auto"/>
      </w:divBdr>
      <w:divsChild>
        <w:div w:id="1843469883">
          <w:marLeft w:val="0"/>
          <w:marRight w:val="0"/>
          <w:marTop w:val="0"/>
          <w:marBottom w:val="0"/>
          <w:divBdr>
            <w:top w:val="none" w:sz="0" w:space="0" w:color="auto"/>
            <w:left w:val="none" w:sz="0" w:space="0" w:color="auto"/>
            <w:bottom w:val="none" w:sz="0" w:space="0" w:color="auto"/>
            <w:right w:val="none" w:sz="0" w:space="0" w:color="auto"/>
          </w:divBdr>
          <w:divsChild>
            <w:div w:id="1362704437">
              <w:marLeft w:val="0"/>
              <w:marRight w:val="0"/>
              <w:marTop w:val="0"/>
              <w:marBottom w:val="0"/>
              <w:divBdr>
                <w:top w:val="none" w:sz="0" w:space="0" w:color="auto"/>
                <w:left w:val="none" w:sz="0" w:space="0" w:color="auto"/>
                <w:bottom w:val="none" w:sz="0" w:space="0" w:color="auto"/>
                <w:right w:val="none" w:sz="0" w:space="0" w:color="auto"/>
              </w:divBdr>
              <w:divsChild>
                <w:div w:id="1528175780">
                  <w:marLeft w:val="0"/>
                  <w:marRight w:val="0"/>
                  <w:marTop w:val="0"/>
                  <w:marBottom w:val="0"/>
                  <w:divBdr>
                    <w:top w:val="none" w:sz="0" w:space="0" w:color="auto"/>
                    <w:left w:val="none" w:sz="0" w:space="0" w:color="auto"/>
                    <w:bottom w:val="none" w:sz="0" w:space="0" w:color="auto"/>
                    <w:right w:val="none" w:sz="0" w:space="0" w:color="auto"/>
                  </w:divBdr>
                  <w:divsChild>
                    <w:div w:id="449595863">
                      <w:marLeft w:val="0"/>
                      <w:marRight w:val="-105"/>
                      <w:marTop w:val="0"/>
                      <w:marBottom w:val="0"/>
                      <w:divBdr>
                        <w:top w:val="none" w:sz="0" w:space="0" w:color="auto"/>
                        <w:left w:val="none" w:sz="0" w:space="0" w:color="auto"/>
                        <w:bottom w:val="none" w:sz="0" w:space="0" w:color="auto"/>
                        <w:right w:val="none" w:sz="0" w:space="0" w:color="auto"/>
                      </w:divBdr>
                      <w:divsChild>
                        <w:div w:id="766148391">
                          <w:marLeft w:val="0"/>
                          <w:marRight w:val="0"/>
                          <w:marTop w:val="0"/>
                          <w:marBottom w:val="0"/>
                          <w:divBdr>
                            <w:top w:val="none" w:sz="0" w:space="0" w:color="auto"/>
                            <w:left w:val="none" w:sz="0" w:space="0" w:color="auto"/>
                            <w:bottom w:val="none" w:sz="0" w:space="0" w:color="auto"/>
                            <w:right w:val="none" w:sz="0" w:space="0" w:color="auto"/>
                          </w:divBdr>
                          <w:divsChild>
                            <w:div w:id="2118133734">
                              <w:marLeft w:val="0"/>
                              <w:marRight w:val="0"/>
                              <w:marTop w:val="0"/>
                              <w:marBottom w:val="0"/>
                              <w:divBdr>
                                <w:top w:val="none" w:sz="0" w:space="0" w:color="auto"/>
                                <w:left w:val="none" w:sz="0" w:space="0" w:color="auto"/>
                                <w:bottom w:val="none" w:sz="0" w:space="0" w:color="auto"/>
                                <w:right w:val="none" w:sz="0" w:space="0" w:color="auto"/>
                              </w:divBdr>
                              <w:divsChild>
                                <w:div w:id="1708333024">
                                  <w:marLeft w:val="0"/>
                                  <w:marRight w:val="0"/>
                                  <w:marTop w:val="0"/>
                                  <w:marBottom w:val="0"/>
                                  <w:divBdr>
                                    <w:top w:val="none" w:sz="0" w:space="0" w:color="auto"/>
                                    <w:left w:val="none" w:sz="0" w:space="0" w:color="auto"/>
                                    <w:bottom w:val="none" w:sz="0" w:space="0" w:color="auto"/>
                                    <w:right w:val="none" w:sz="0" w:space="0" w:color="auto"/>
                                  </w:divBdr>
                                  <w:divsChild>
                                    <w:div w:id="475805245">
                                      <w:marLeft w:val="750"/>
                                      <w:marRight w:val="0"/>
                                      <w:marTop w:val="0"/>
                                      <w:marBottom w:val="0"/>
                                      <w:divBdr>
                                        <w:top w:val="none" w:sz="0" w:space="0" w:color="auto"/>
                                        <w:left w:val="none" w:sz="0" w:space="0" w:color="auto"/>
                                        <w:bottom w:val="none" w:sz="0" w:space="0" w:color="auto"/>
                                        <w:right w:val="none" w:sz="0" w:space="0" w:color="auto"/>
                                      </w:divBdr>
                                      <w:divsChild>
                                        <w:div w:id="274295066">
                                          <w:marLeft w:val="0"/>
                                          <w:marRight w:val="0"/>
                                          <w:marTop w:val="0"/>
                                          <w:marBottom w:val="0"/>
                                          <w:divBdr>
                                            <w:top w:val="none" w:sz="0" w:space="0" w:color="auto"/>
                                            <w:left w:val="none" w:sz="0" w:space="0" w:color="auto"/>
                                            <w:bottom w:val="none" w:sz="0" w:space="0" w:color="auto"/>
                                            <w:right w:val="none" w:sz="0" w:space="0" w:color="auto"/>
                                          </w:divBdr>
                                          <w:divsChild>
                                            <w:div w:id="895050889">
                                              <w:marLeft w:val="0"/>
                                              <w:marRight w:val="0"/>
                                              <w:marTop w:val="0"/>
                                              <w:marBottom w:val="0"/>
                                              <w:divBdr>
                                                <w:top w:val="none" w:sz="0" w:space="0" w:color="auto"/>
                                                <w:left w:val="none" w:sz="0" w:space="0" w:color="auto"/>
                                                <w:bottom w:val="none" w:sz="0" w:space="0" w:color="auto"/>
                                                <w:right w:val="none" w:sz="0" w:space="0" w:color="auto"/>
                                              </w:divBdr>
                                              <w:divsChild>
                                                <w:div w:id="1784107966">
                                                  <w:marLeft w:val="0"/>
                                                  <w:marRight w:val="0"/>
                                                  <w:marTop w:val="0"/>
                                                  <w:marBottom w:val="0"/>
                                                  <w:divBdr>
                                                    <w:top w:val="none" w:sz="0" w:space="0" w:color="auto"/>
                                                    <w:left w:val="none" w:sz="0" w:space="0" w:color="auto"/>
                                                    <w:bottom w:val="none" w:sz="0" w:space="0" w:color="auto"/>
                                                    <w:right w:val="none" w:sz="0" w:space="0" w:color="auto"/>
                                                  </w:divBdr>
                                                  <w:divsChild>
                                                    <w:div w:id="1210848867">
                                                      <w:marLeft w:val="0"/>
                                                      <w:marRight w:val="0"/>
                                                      <w:marTop w:val="0"/>
                                                      <w:marBottom w:val="0"/>
                                                      <w:divBdr>
                                                        <w:top w:val="none" w:sz="0" w:space="0" w:color="auto"/>
                                                        <w:left w:val="none" w:sz="0" w:space="0" w:color="auto"/>
                                                        <w:bottom w:val="none" w:sz="0" w:space="0" w:color="auto"/>
                                                        <w:right w:val="none" w:sz="0" w:space="0" w:color="auto"/>
                                                      </w:divBdr>
                                                      <w:divsChild>
                                                        <w:div w:id="1295134335">
                                                          <w:marLeft w:val="0"/>
                                                          <w:marRight w:val="0"/>
                                                          <w:marTop w:val="0"/>
                                                          <w:marBottom w:val="0"/>
                                                          <w:divBdr>
                                                            <w:top w:val="none" w:sz="0" w:space="0" w:color="auto"/>
                                                            <w:left w:val="none" w:sz="0" w:space="0" w:color="auto"/>
                                                            <w:bottom w:val="none" w:sz="0" w:space="0" w:color="auto"/>
                                                            <w:right w:val="none" w:sz="0" w:space="0" w:color="auto"/>
                                                          </w:divBdr>
                                                          <w:divsChild>
                                                            <w:div w:id="619000190">
                                                              <w:marLeft w:val="0"/>
                                                              <w:marRight w:val="0"/>
                                                              <w:marTop w:val="0"/>
                                                              <w:marBottom w:val="0"/>
                                                              <w:divBdr>
                                                                <w:top w:val="none" w:sz="0" w:space="0" w:color="auto"/>
                                                                <w:left w:val="none" w:sz="0" w:space="0" w:color="auto"/>
                                                                <w:bottom w:val="none" w:sz="0" w:space="0" w:color="auto"/>
                                                                <w:right w:val="none" w:sz="0" w:space="0" w:color="auto"/>
                                                              </w:divBdr>
                                                              <w:divsChild>
                                                                <w:div w:id="2037656653">
                                                                  <w:marLeft w:val="0"/>
                                                                  <w:marRight w:val="0"/>
                                                                  <w:marTop w:val="0"/>
                                                                  <w:marBottom w:val="0"/>
                                                                  <w:divBdr>
                                                                    <w:top w:val="none" w:sz="0" w:space="0" w:color="auto"/>
                                                                    <w:left w:val="none" w:sz="0" w:space="0" w:color="auto"/>
                                                                    <w:bottom w:val="none" w:sz="0" w:space="0" w:color="auto"/>
                                                                    <w:right w:val="none" w:sz="0" w:space="0" w:color="auto"/>
                                                                  </w:divBdr>
                                                                  <w:divsChild>
                                                                    <w:div w:id="36660061">
                                                                      <w:marLeft w:val="0"/>
                                                                      <w:marRight w:val="0"/>
                                                                      <w:marTop w:val="0"/>
                                                                      <w:marBottom w:val="0"/>
                                                                      <w:divBdr>
                                                                        <w:top w:val="none" w:sz="0" w:space="0" w:color="auto"/>
                                                                        <w:left w:val="none" w:sz="0" w:space="0" w:color="auto"/>
                                                                        <w:bottom w:val="none" w:sz="0" w:space="0" w:color="auto"/>
                                                                        <w:right w:val="none" w:sz="0" w:space="0" w:color="auto"/>
                                                                      </w:divBdr>
                                                                      <w:divsChild>
                                                                        <w:div w:id="192810478">
                                                                          <w:marLeft w:val="0"/>
                                                                          <w:marRight w:val="0"/>
                                                                          <w:marTop w:val="0"/>
                                                                          <w:marBottom w:val="0"/>
                                                                          <w:divBdr>
                                                                            <w:top w:val="none" w:sz="0" w:space="0" w:color="auto"/>
                                                                            <w:left w:val="none" w:sz="0" w:space="0" w:color="auto"/>
                                                                            <w:bottom w:val="none" w:sz="0" w:space="0" w:color="auto"/>
                                                                            <w:right w:val="none" w:sz="0" w:space="0" w:color="auto"/>
                                                                          </w:divBdr>
                                                                          <w:divsChild>
                                                                            <w:div w:id="141585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010881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551613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5066937">
          <w:marLeft w:val="0"/>
          <w:marRight w:val="0"/>
          <w:marTop w:val="0"/>
          <w:marBottom w:val="0"/>
          <w:divBdr>
            <w:top w:val="none" w:sz="0" w:space="0" w:color="auto"/>
            <w:left w:val="none" w:sz="0" w:space="0" w:color="auto"/>
            <w:bottom w:val="none" w:sz="0" w:space="0" w:color="auto"/>
            <w:right w:val="none" w:sz="0" w:space="0" w:color="auto"/>
          </w:divBdr>
          <w:divsChild>
            <w:div w:id="1920866879">
              <w:marLeft w:val="0"/>
              <w:marRight w:val="0"/>
              <w:marTop w:val="0"/>
              <w:marBottom w:val="0"/>
              <w:divBdr>
                <w:top w:val="none" w:sz="0" w:space="0" w:color="auto"/>
                <w:left w:val="none" w:sz="0" w:space="0" w:color="auto"/>
                <w:bottom w:val="none" w:sz="0" w:space="0" w:color="auto"/>
                <w:right w:val="none" w:sz="0" w:space="0" w:color="auto"/>
              </w:divBdr>
              <w:divsChild>
                <w:div w:id="98875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260047">
      <w:bodyDiv w:val="1"/>
      <w:marLeft w:val="0"/>
      <w:marRight w:val="0"/>
      <w:marTop w:val="0"/>
      <w:marBottom w:val="0"/>
      <w:divBdr>
        <w:top w:val="none" w:sz="0" w:space="0" w:color="auto"/>
        <w:left w:val="none" w:sz="0" w:space="0" w:color="auto"/>
        <w:bottom w:val="none" w:sz="0" w:space="0" w:color="auto"/>
        <w:right w:val="none" w:sz="0" w:space="0" w:color="auto"/>
      </w:divBdr>
    </w:div>
    <w:div w:id="1491750477">
      <w:bodyDiv w:val="1"/>
      <w:marLeft w:val="0"/>
      <w:marRight w:val="0"/>
      <w:marTop w:val="0"/>
      <w:marBottom w:val="0"/>
      <w:divBdr>
        <w:top w:val="none" w:sz="0" w:space="0" w:color="auto"/>
        <w:left w:val="none" w:sz="0" w:space="0" w:color="auto"/>
        <w:bottom w:val="none" w:sz="0" w:space="0" w:color="auto"/>
        <w:right w:val="none" w:sz="0" w:space="0" w:color="auto"/>
      </w:divBdr>
    </w:div>
    <w:div w:id="1492600235">
      <w:bodyDiv w:val="1"/>
      <w:marLeft w:val="0"/>
      <w:marRight w:val="0"/>
      <w:marTop w:val="0"/>
      <w:marBottom w:val="0"/>
      <w:divBdr>
        <w:top w:val="none" w:sz="0" w:space="0" w:color="auto"/>
        <w:left w:val="none" w:sz="0" w:space="0" w:color="auto"/>
        <w:bottom w:val="none" w:sz="0" w:space="0" w:color="auto"/>
        <w:right w:val="none" w:sz="0" w:space="0" w:color="auto"/>
      </w:divBdr>
    </w:div>
    <w:div w:id="1952466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Lao-dong-Tien-luong/Bo-Luat-lao-dong-2019-333670.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55D74-8F74-400F-B7CA-40B9EC18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28</Pages>
  <Words>8084</Words>
  <Characters>46083</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36</cp:revision>
  <cp:lastPrinted>2025-12-24T04:29:00Z</cp:lastPrinted>
  <dcterms:created xsi:type="dcterms:W3CDTF">2025-12-04T22:12:00Z</dcterms:created>
  <dcterms:modified xsi:type="dcterms:W3CDTF">2025-12-24T05:16:00Z</dcterms:modified>
</cp:coreProperties>
</file>